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33" w:rsidRPr="00C3268D" w:rsidRDefault="00E81933" w:rsidP="00E81933">
      <w:pPr>
        <w:pStyle w:val="Ttulo"/>
        <w:rPr>
          <w:rFonts w:cs="Arial"/>
          <w:b/>
          <w:sz w:val="20"/>
        </w:rPr>
      </w:pPr>
      <w:r w:rsidRPr="00C3268D">
        <w:rPr>
          <w:rFonts w:cs="Arial"/>
          <w:b/>
          <w:sz w:val="20"/>
        </w:rPr>
        <w:t>CÂMARA MUNICIPAL DE PORTO ALEGRE</w:t>
      </w:r>
    </w:p>
    <w:p w:rsidR="00E81933" w:rsidRPr="00C3268D" w:rsidRDefault="00E81933" w:rsidP="00E81933">
      <w:pPr>
        <w:pStyle w:val="Subttulo"/>
        <w:rPr>
          <w:rFonts w:cs="Arial"/>
          <w:sz w:val="20"/>
        </w:rPr>
      </w:pPr>
      <w:r w:rsidRPr="00C3268D">
        <w:rPr>
          <w:rFonts w:cs="Arial"/>
          <w:sz w:val="20"/>
        </w:rPr>
        <w:t>PROCURADORIA</w:t>
      </w:r>
    </w:p>
    <w:p w:rsidR="00E81933" w:rsidRPr="00C3268D" w:rsidRDefault="00E81933" w:rsidP="00E81933">
      <w:pPr>
        <w:jc w:val="center"/>
        <w:rPr>
          <w:rFonts w:ascii="Arial" w:hAnsi="Arial" w:cs="Arial"/>
          <w:b/>
          <w:sz w:val="20"/>
          <w:szCs w:val="20"/>
        </w:rPr>
      </w:pPr>
    </w:p>
    <w:p w:rsidR="00317623" w:rsidRDefault="00317623" w:rsidP="00317623">
      <w:pPr>
        <w:rPr>
          <w:rFonts w:ascii="Arial" w:hAnsi="Arial" w:cs="Arial"/>
          <w:b/>
          <w:sz w:val="20"/>
          <w:szCs w:val="20"/>
        </w:rPr>
      </w:pPr>
    </w:p>
    <w:p w:rsidR="00317623" w:rsidRPr="00C3268D" w:rsidRDefault="00317623" w:rsidP="00317623">
      <w:pPr>
        <w:rPr>
          <w:rFonts w:ascii="Arial" w:hAnsi="Arial" w:cs="Arial"/>
          <w:b/>
          <w:sz w:val="20"/>
          <w:szCs w:val="20"/>
        </w:rPr>
      </w:pPr>
      <w:r w:rsidRPr="00C3268D"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  <w:szCs w:val="20"/>
        </w:rPr>
        <w:t>Nº</w:t>
      </w:r>
      <w:r w:rsidR="00632268">
        <w:rPr>
          <w:rFonts w:ascii="Arial" w:hAnsi="Arial" w:cs="Arial"/>
          <w:b/>
          <w:sz w:val="20"/>
          <w:szCs w:val="20"/>
        </w:rPr>
        <w:t xml:space="preserve"> 259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/15.</w:t>
      </w:r>
    </w:p>
    <w:p w:rsidR="00E81933" w:rsidRPr="00C3268D" w:rsidRDefault="00E81933" w:rsidP="00E81933">
      <w:pPr>
        <w:jc w:val="center"/>
        <w:rPr>
          <w:rFonts w:ascii="Arial" w:hAnsi="Arial" w:cs="Arial"/>
          <w:b/>
          <w:sz w:val="20"/>
          <w:szCs w:val="20"/>
        </w:rPr>
      </w:pPr>
    </w:p>
    <w:p w:rsidR="00E81933" w:rsidRPr="00C3268D" w:rsidRDefault="00E81933" w:rsidP="00E81933">
      <w:pPr>
        <w:ind w:left="2832"/>
        <w:rPr>
          <w:rFonts w:ascii="Arial" w:hAnsi="Arial" w:cs="Arial"/>
          <w:b/>
          <w:sz w:val="20"/>
          <w:szCs w:val="20"/>
        </w:rPr>
      </w:pPr>
    </w:p>
    <w:p w:rsidR="00317623" w:rsidRDefault="00317623" w:rsidP="00094ADF">
      <w:pPr>
        <w:pStyle w:val="Ttulo2"/>
        <w:ind w:left="4678"/>
        <w:rPr>
          <w:rFonts w:cs="Arial"/>
          <w:sz w:val="20"/>
        </w:rPr>
      </w:pPr>
      <w:r>
        <w:rPr>
          <w:rFonts w:cs="Arial"/>
          <w:sz w:val="20"/>
        </w:rPr>
        <w:t>PROCESSO Nº 848</w:t>
      </w:r>
      <w:r w:rsidR="00E81933" w:rsidRPr="00C3268D">
        <w:rPr>
          <w:rFonts w:cs="Arial"/>
          <w:sz w:val="20"/>
        </w:rPr>
        <w:t>/</w:t>
      </w:r>
      <w:r>
        <w:rPr>
          <w:rFonts w:cs="Arial"/>
          <w:sz w:val="20"/>
        </w:rPr>
        <w:t>15.</w:t>
      </w:r>
    </w:p>
    <w:p w:rsidR="00E81933" w:rsidRPr="00C3268D" w:rsidRDefault="00317623" w:rsidP="00094ADF">
      <w:pPr>
        <w:pStyle w:val="Ttulo2"/>
        <w:ind w:left="4678"/>
        <w:rPr>
          <w:rFonts w:cs="Arial"/>
          <w:b w:val="0"/>
          <w:sz w:val="20"/>
        </w:rPr>
      </w:pPr>
      <w:r>
        <w:rPr>
          <w:rFonts w:cs="Arial"/>
          <w:sz w:val="20"/>
        </w:rPr>
        <w:t>P</w:t>
      </w:r>
      <w:r w:rsidR="00E81933" w:rsidRPr="00C3268D">
        <w:rPr>
          <w:rFonts w:cs="Arial"/>
          <w:sz w:val="20"/>
        </w:rPr>
        <w:t>LL</w:t>
      </w:r>
      <w:r>
        <w:rPr>
          <w:rFonts w:cs="Arial"/>
          <w:sz w:val="20"/>
        </w:rPr>
        <w:t xml:space="preserve">              </w:t>
      </w:r>
      <w:r w:rsidR="00E81933" w:rsidRPr="00C3268D">
        <w:rPr>
          <w:rFonts w:cs="Arial"/>
          <w:sz w:val="20"/>
        </w:rPr>
        <w:t xml:space="preserve">Nº </w:t>
      </w:r>
      <w:r>
        <w:rPr>
          <w:rFonts w:cs="Arial"/>
          <w:sz w:val="20"/>
        </w:rPr>
        <w:t xml:space="preserve">   74</w:t>
      </w:r>
      <w:r w:rsidR="00E81933" w:rsidRPr="00C3268D">
        <w:rPr>
          <w:rFonts w:cs="Arial"/>
          <w:sz w:val="20"/>
        </w:rPr>
        <w:t>/</w:t>
      </w:r>
      <w:r>
        <w:rPr>
          <w:rFonts w:cs="Arial"/>
          <w:sz w:val="20"/>
        </w:rPr>
        <w:t>15</w:t>
      </w:r>
      <w:r w:rsidR="00E81933" w:rsidRPr="00C3268D">
        <w:rPr>
          <w:rFonts w:cs="Arial"/>
          <w:sz w:val="20"/>
        </w:rPr>
        <w:t>.</w:t>
      </w:r>
    </w:p>
    <w:p w:rsidR="00E81933" w:rsidRPr="00C3268D" w:rsidRDefault="00E81933" w:rsidP="00E81933">
      <w:pPr>
        <w:ind w:left="2832"/>
        <w:rPr>
          <w:rFonts w:ascii="Arial" w:hAnsi="Arial" w:cs="Arial"/>
          <w:b/>
          <w:sz w:val="20"/>
          <w:szCs w:val="20"/>
        </w:rPr>
      </w:pPr>
    </w:p>
    <w:p w:rsidR="00E81933" w:rsidRPr="00C3268D" w:rsidRDefault="00E81933" w:rsidP="00E81933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E81933" w:rsidRPr="00C3268D" w:rsidRDefault="00E81933" w:rsidP="00E81933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E81933" w:rsidRPr="00C3268D" w:rsidRDefault="00E81933" w:rsidP="00E81933">
      <w:pPr>
        <w:pStyle w:val="Ttulo1"/>
        <w:ind w:firstLine="708"/>
        <w:jc w:val="both"/>
        <w:rPr>
          <w:rFonts w:cs="Arial"/>
          <w:sz w:val="20"/>
        </w:rPr>
      </w:pPr>
      <w:r w:rsidRPr="00C3268D">
        <w:rPr>
          <w:rFonts w:cs="Arial"/>
          <w:sz w:val="20"/>
        </w:rPr>
        <w:t xml:space="preserve">É submetido a exame prévio desta Procuradoria o Projeto de Lei do Legislativo em epígrafe, que </w:t>
      </w:r>
      <w:r w:rsidR="00317623">
        <w:rPr>
          <w:rFonts w:cs="Arial"/>
          <w:sz w:val="20"/>
        </w:rPr>
        <w:t>obriga os agentes públicos a entregar às unidades administrativas de serviço de pessoal dos órgãos da Administração Direta ou das entidades da Administração Indireta a que se vincularem, de qualquer dos Poderes do Município de Po</w:t>
      </w:r>
      <w:r w:rsidRPr="00C3268D">
        <w:rPr>
          <w:rFonts w:cs="Arial"/>
          <w:sz w:val="20"/>
        </w:rPr>
        <w:t>rto Alegre,</w:t>
      </w:r>
      <w:r w:rsidR="00317623">
        <w:rPr>
          <w:rFonts w:cs="Arial"/>
          <w:sz w:val="20"/>
        </w:rPr>
        <w:t xml:space="preserve"> declaração de bens e rendas que constituam seu patrimônio, determina que essas unidades administrativas exerçam o contrato de sinais aparentes de riqueza ou de enriquecimento </w:t>
      </w:r>
      <w:r w:rsidR="00094ADF">
        <w:rPr>
          <w:rFonts w:cs="Arial"/>
          <w:sz w:val="20"/>
        </w:rPr>
        <w:t>ilícito</w:t>
      </w:r>
      <w:r w:rsidR="00317623">
        <w:rPr>
          <w:rFonts w:cs="Arial"/>
          <w:sz w:val="20"/>
        </w:rPr>
        <w:t xml:space="preserve"> dos agentes públicos </w:t>
      </w:r>
      <w:r w:rsidRPr="00C3268D">
        <w:rPr>
          <w:rFonts w:cs="Arial"/>
          <w:sz w:val="20"/>
        </w:rPr>
        <w:t xml:space="preserve"> e dá outras providências.</w:t>
      </w:r>
    </w:p>
    <w:p w:rsidR="00E81933" w:rsidRPr="00C3268D" w:rsidRDefault="00E81933" w:rsidP="00E81933">
      <w:pPr>
        <w:pStyle w:val="Corpodetexto"/>
        <w:jc w:val="both"/>
        <w:rPr>
          <w:rFonts w:cs="Arial"/>
          <w:sz w:val="20"/>
        </w:rPr>
      </w:pPr>
      <w:r w:rsidRPr="00C3268D">
        <w:rPr>
          <w:rFonts w:cs="Arial"/>
          <w:sz w:val="20"/>
        </w:rPr>
        <w:tab/>
        <w:t>Na forma do que dispõe a Carta Magna, é d</w:t>
      </w:r>
      <w:r w:rsidR="00094ADF">
        <w:rPr>
          <w:rFonts w:cs="Arial"/>
          <w:sz w:val="20"/>
        </w:rPr>
        <w:t>e</w:t>
      </w:r>
      <w:r w:rsidRPr="00C3268D">
        <w:rPr>
          <w:rFonts w:cs="Arial"/>
          <w:sz w:val="20"/>
        </w:rPr>
        <w:t xml:space="preserve"> competência dos Municípios legislar sobre assuntos de interesse local (art. 30, inciso I).</w:t>
      </w:r>
    </w:p>
    <w:p w:rsidR="00E81933" w:rsidRPr="00C3268D" w:rsidRDefault="00E81933" w:rsidP="00317623">
      <w:pPr>
        <w:pStyle w:val="Recuodecorpodetexto"/>
        <w:spacing w:after="0"/>
        <w:ind w:left="0" w:firstLine="708"/>
        <w:rPr>
          <w:rFonts w:ascii="Arial" w:hAnsi="Arial" w:cs="Arial"/>
          <w:sz w:val="20"/>
          <w:szCs w:val="20"/>
        </w:rPr>
      </w:pPr>
      <w:r w:rsidRPr="00C3268D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81933" w:rsidRPr="00C3268D" w:rsidRDefault="00E81933" w:rsidP="00317623">
      <w:pPr>
        <w:jc w:val="both"/>
        <w:rPr>
          <w:rFonts w:ascii="Arial" w:hAnsi="Arial" w:cs="Arial"/>
          <w:i/>
          <w:sz w:val="20"/>
          <w:szCs w:val="20"/>
        </w:rPr>
      </w:pPr>
      <w:r w:rsidRPr="00C3268D">
        <w:rPr>
          <w:sz w:val="20"/>
          <w:szCs w:val="20"/>
        </w:rPr>
        <w:tab/>
      </w:r>
      <w:r w:rsidR="00317623">
        <w:rPr>
          <w:rFonts w:ascii="Arial" w:hAnsi="Arial" w:cs="Arial"/>
          <w:sz w:val="20"/>
          <w:szCs w:val="20"/>
        </w:rPr>
        <w:t>A matéria objeto da proposição</w:t>
      </w:r>
      <w:r w:rsidRPr="00C3268D">
        <w:rPr>
          <w:rFonts w:ascii="Arial" w:hAnsi="Arial" w:cs="Arial"/>
          <w:sz w:val="20"/>
          <w:szCs w:val="20"/>
        </w:rPr>
        <w:t xml:space="preserve"> se insere no âmbito de competência</w:t>
      </w:r>
      <w:r w:rsidR="00BD6E71">
        <w:rPr>
          <w:rFonts w:ascii="Arial" w:hAnsi="Arial" w:cs="Arial"/>
          <w:sz w:val="20"/>
          <w:szCs w:val="20"/>
        </w:rPr>
        <w:t xml:space="preserve"> municipal</w:t>
      </w:r>
      <w:r w:rsidRPr="00C3268D">
        <w:rPr>
          <w:rFonts w:ascii="Arial" w:hAnsi="Arial" w:cs="Arial"/>
          <w:sz w:val="20"/>
          <w:szCs w:val="20"/>
        </w:rPr>
        <w:t xml:space="preserve">, inexistindo óbice </w:t>
      </w:r>
      <w:r w:rsidR="00094ADF">
        <w:rPr>
          <w:rFonts w:ascii="Arial" w:hAnsi="Arial" w:cs="Arial"/>
          <w:sz w:val="20"/>
          <w:szCs w:val="20"/>
        </w:rPr>
        <w:t>jurídico à</w:t>
      </w:r>
      <w:r w:rsidR="00317623">
        <w:rPr>
          <w:rFonts w:ascii="Arial" w:hAnsi="Arial" w:cs="Arial"/>
          <w:sz w:val="20"/>
          <w:szCs w:val="20"/>
        </w:rPr>
        <w:t xml:space="preserve"> tramitação, sob tal enfoque</w:t>
      </w:r>
      <w:r w:rsidR="00632268">
        <w:rPr>
          <w:rFonts w:ascii="Arial" w:hAnsi="Arial" w:cs="Arial"/>
          <w:sz w:val="20"/>
          <w:szCs w:val="20"/>
        </w:rPr>
        <w:t>.</w:t>
      </w:r>
    </w:p>
    <w:p w:rsidR="00AC4989" w:rsidRDefault="00E81933" w:rsidP="00AC4989">
      <w:pPr>
        <w:pStyle w:val="Corpodetexto"/>
        <w:ind w:firstLine="708"/>
        <w:jc w:val="both"/>
        <w:rPr>
          <w:rFonts w:cs="Arial"/>
          <w:sz w:val="20"/>
        </w:rPr>
      </w:pPr>
      <w:r w:rsidRPr="00C3268D">
        <w:rPr>
          <w:rFonts w:cs="Arial"/>
          <w:sz w:val="20"/>
        </w:rPr>
        <w:t>De ressalvar, contudo</w:t>
      </w:r>
      <w:r w:rsidR="00317623">
        <w:rPr>
          <w:rFonts w:cs="Arial"/>
          <w:sz w:val="20"/>
        </w:rPr>
        <w:t xml:space="preserve"> que: a) o conteúdo normativo do artigo 3º da proposição, vênia concedida, implica interferência n</w:t>
      </w:r>
      <w:r w:rsidR="00A30794">
        <w:rPr>
          <w:rFonts w:cs="Arial"/>
          <w:sz w:val="20"/>
        </w:rPr>
        <w:t>o funcionamento e</w:t>
      </w:r>
      <w:r w:rsidR="00317623">
        <w:rPr>
          <w:rFonts w:cs="Arial"/>
          <w:sz w:val="20"/>
        </w:rPr>
        <w:t xml:space="preserve"> gestão </w:t>
      </w:r>
      <w:r w:rsidR="00AC4989">
        <w:rPr>
          <w:rFonts w:cs="Arial"/>
          <w:sz w:val="20"/>
        </w:rPr>
        <w:t>do Município</w:t>
      </w:r>
      <w:r w:rsidR="00A30794">
        <w:rPr>
          <w:rFonts w:cs="Arial"/>
          <w:sz w:val="20"/>
        </w:rPr>
        <w:t xml:space="preserve"> e</w:t>
      </w:r>
      <w:r w:rsidR="00AC4989">
        <w:rPr>
          <w:rFonts w:cs="Arial"/>
          <w:sz w:val="20"/>
        </w:rPr>
        <w:t xml:space="preserve"> </w:t>
      </w:r>
      <w:r w:rsidR="00A30794">
        <w:rPr>
          <w:rFonts w:cs="Arial"/>
          <w:sz w:val="20"/>
        </w:rPr>
        <w:t xml:space="preserve"> de  entidades municipais dotadas de autonomia (autarquias, fundações, empresas públicas</w:t>
      </w:r>
      <w:r w:rsidR="00632268">
        <w:rPr>
          <w:rFonts w:cs="Arial"/>
          <w:sz w:val="20"/>
        </w:rPr>
        <w:t>, sociedades de economia mista</w:t>
      </w:r>
      <w:r w:rsidR="00A30794">
        <w:rPr>
          <w:rFonts w:cs="Arial"/>
          <w:sz w:val="20"/>
        </w:rPr>
        <w:t xml:space="preserve">), bem como </w:t>
      </w:r>
      <w:r w:rsidR="00632268">
        <w:rPr>
          <w:rFonts w:cs="Arial"/>
          <w:sz w:val="20"/>
        </w:rPr>
        <w:t>neste</w:t>
      </w:r>
      <w:r w:rsidR="00AC4989">
        <w:rPr>
          <w:rFonts w:cs="Arial"/>
          <w:sz w:val="20"/>
        </w:rPr>
        <w:t xml:space="preserve"> Poder Legislativo</w:t>
      </w:r>
      <w:r w:rsidR="00A30794">
        <w:rPr>
          <w:rFonts w:cs="Arial"/>
          <w:sz w:val="20"/>
        </w:rPr>
        <w:t xml:space="preserve">, </w:t>
      </w:r>
      <w:r w:rsidR="00AC4989">
        <w:rPr>
          <w:rFonts w:cs="Arial"/>
          <w:sz w:val="20"/>
        </w:rPr>
        <w:t xml:space="preserve">incidindo, vênia concedida, em violação ao preceitos legais que deferem competência </w:t>
      </w:r>
      <w:r w:rsidRPr="00C3268D">
        <w:rPr>
          <w:rFonts w:cs="Arial"/>
          <w:sz w:val="20"/>
        </w:rPr>
        <w:t>privativa ao Chefe do Poder Executivo</w:t>
      </w:r>
      <w:r w:rsidR="00AC4989">
        <w:rPr>
          <w:rFonts w:cs="Arial"/>
          <w:sz w:val="20"/>
        </w:rPr>
        <w:t xml:space="preserve"> e</w:t>
      </w:r>
      <w:r w:rsidRPr="00C3268D">
        <w:rPr>
          <w:rFonts w:cs="Arial"/>
          <w:sz w:val="20"/>
        </w:rPr>
        <w:t xml:space="preserve"> </w:t>
      </w:r>
      <w:r w:rsidR="00AC4989" w:rsidRPr="00C3268D">
        <w:rPr>
          <w:rFonts w:cs="Arial"/>
          <w:sz w:val="20"/>
        </w:rPr>
        <w:t>à Mesa Diretora</w:t>
      </w:r>
      <w:r w:rsidR="00AC4989">
        <w:rPr>
          <w:rFonts w:cs="Arial"/>
          <w:sz w:val="20"/>
        </w:rPr>
        <w:t xml:space="preserve"> da Câmara Municipal para</w:t>
      </w:r>
      <w:r w:rsidR="00AC4989" w:rsidRPr="00C3268D">
        <w:rPr>
          <w:rFonts w:cs="Arial"/>
          <w:sz w:val="20"/>
        </w:rPr>
        <w:t xml:space="preserve"> </w:t>
      </w:r>
      <w:r w:rsidRPr="00C3268D">
        <w:rPr>
          <w:rFonts w:cs="Arial"/>
          <w:sz w:val="20"/>
        </w:rPr>
        <w:t xml:space="preserve">realizar a administração </w:t>
      </w:r>
      <w:r w:rsidR="00AC4989">
        <w:rPr>
          <w:rFonts w:cs="Arial"/>
          <w:sz w:val="20"/>
        </w:rPr>
        <w:t xml:space="preserve">dos respectivos poderes (LOMPA, artigo 94, incisos IV e XII; Regimento, </w:t>
      </w:r>
      <w:r w:rsidR="00A30794">
        <w:rPr>
          <w:rFonts w:cs="Arial"/>
          <w:sz w:val="20"/>
        </w:rPr>
        <w:t xml:space="preserve">art. 15) e </w:t>
      </w:r>
      <w:r w:rsidR="006D1FCF">
        <w:rPr>
          <w:rFonts w:cs="Arial"/>
          <w:sz w:val="20"/>
        </w:rPr>
        <w:t>aos princípios e regras que regem o</w:t>
      </w:r>
      <w:r w:rsidR="00A30794">
        <w:rPr>
          <w:rFonts w:cs="Arial"/>
          <w:sz w:val="20"/>
        </w:rPr>
        <w:t xml:space="preserve"> </w:t>
      </w:r>
      <w:r w:rsidR="006D1FCF">
        <w:rPr>
          <w:rFonts w:cs="Arial"/>
          <w:sz w:val="20"/>
        </w:rPr>
        <w:t xml:space="preserve">funcionamento de tais entidades; b) </w:t>
      </w:r>
      <w:r w:rsidR="00960652">
        <w:rPr>
          <w:rFonts w:cs="Arial"/>
          <w:sz w:val="20"/>
        </w:rPr>
        <w:t xml:space="preserve">compete privativamente à União legislar sobre matéria penal, preceito que resta afetado pelo disposto no </w:t>
      </w:r>
      <w:r w:rsidR="00960652">
        <w:rPr>
          <w:rFonts w:cs="Arial"/>
          <w:i/>
          <w:sz w:val="20"/>
        </w:rPr>
        <w:t xml:space="preserve">caput </w:t>
      </w:r>
      <w:r w:rsidR="00960652">
        <w:rPr>
          <w:rFonts w:cs="Arial"/>
          <w:sz w:val="20"/>
        </w:rPr>
        <w:t>do artigo 5º do projeto de lei.</w:t>
      </w:r>
    </w:p>
    <w:p w:rsidR="00E81933" w:rsidRPr="00C3268D" w:rsidRDefault="00960652" w:rsidP="00AC4989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o </w:t>
      </w:r>
      <w:r w:rsidR="00094ADF" w:rsidRPr="00C3268D">
        <w:rPr>
          <w:rFonts w:cs="Arial"/>
          <w:sz w:val="20"/>
        </w:rPr>
        <w:t>parecer,</w:t>
      </w:r>
      <w:r>
        <w:rPr>
          <w:rFonts w:cs="Arial"/>
          <w:sz w:val="20"/>
        </w:rPr>
        <w:t xml:space="preserve"> </w:t>
      </w:r>
      <w:r>
        <w:rPr>
          <w:rFonts w:cs="Arial"/>
          <w:i/>
          <w:sz w:val="20"/>
        </w:rPr>
        <w:t>sub censura</w:t>
      </w:r>
      <w:r w:rsidR="00E81933" w:rsidRPr="00C3268D">
        <w:rPr>
          <w:rFonts w:cs="Arial"/>
          <w:sz w:val="20"/>
        </w:rPr>
        <w:t>.</w:t>
      </w:r>
    </w:p>
    <w:p w:rsidR="00E81933" w:rsidRPr="00C3268D" w:rsidRDefault="00E81933" w:rsidP="00E81933">
      <w:pPr>
        <w:rPr>
          <w:rFonts w:ascii="Arial" w:hAnsi="Arial" w:cs="Arial"/>
          <w:sz w:val="20"/>
          <w:szCs w:val="20"/>
        </w:rPr>
      </w:pPr>
      <w:r w:rsidRPr="00C3268D">
        <w:rPr>
          <w:rFonts w:ascii="Arial" w:hAnsi="Arial" w:cs="Arial"/>
          <w:sz w:val="20"/>
          <w:szCs w:val="20"/>
        </w:rPr>
        <w:tab/>
      </w:r>
      <w:r w:rsidR="00960652">
        <w:rPr>
          <w:rFonts w:ascii="Arial" w:hAnsi="Arial" w:cs="Arial"/>
          <w:sz w:val="20"/>
          <w:szCs w:val="20"/>
        </w:rPr>
        <w:t>Em 25</w:t>
      </w:r>
      <w:r w:rsidRPr="00C3268D">
        <w:rPr>
          <w:rFonts w:ascii="Arial" w:hAnsi="Arial" w:cs="Arial"/>
          <w:sz w:val="20"/>
          <w:szCs w:val="20"/>
        </w:rPr>
        <w:t xml:space="preserve"> de </w:t>
      </w:r>
      <w:r w:rsidR="00960652">
        <w:rPr>
          <w:rFonts w:ascii="Arial" w:hAnsi="Arial" w:cs="Arial"/>
          <w:sz w:val="20"/>
          <w:szCs w:val="20"/>
        </w:rPr>
        <w:t>maio</w:t>
      </w:r>
      <w:r w:rsidRPr="00C3268D">
        <w:rPr>
          <w:rFonts w:ascii="Arial" w:hAnsi="Arial" w:cs="Arial"/>
          <w:sz w:val="20"/>
          <w:szCs w:val="20"/>
        </w:rPr>
        <w:t xml:space="preserve"> de 2.0</w:t>
      </w:r>
      <w:r w:rsidR="00960652">
        <w:rPr>
          <w:rFonts w:ascii="Arial" w:hAnsi="Arial" w:cs="Arial"/>
          <w:sz w:val="20"/>
          <w:szCs w:val="20"/>
        </w:rPr>
        <w:t>15</w:t>
      </w:r>
      <w:r w:rsidRPr="00C3268D">
        <w:rPr>
          <w:rFonts w:ascii="Arial" w:hAnsi="Arial" w:cs="Arial"/>
          <w:sz w:val="20"/>
          <w:szCs w:val="20"/>
        </w:rPr>
        <w:t>.</w:t>
      </w:r>
    </w:p>
    <w:p w:rsidR="00E81933" w:rsidRPr="00C3268D" w:rsidRDefault="00E81933" w:rsidP="00E81933">
      <w:pPr>
        <w:rPr>
          <w:rFonts w:ascii="Arial" w:hAnsi="Arial" w:cs="Arial"/>
          <w:sz w:val="20"/>
          <w:szCs w:val="20"/>
        </w:rPr>
      </w:pPr>
    </w:p>
    <w:p w:rsidR="00E81933" w:rsidRPr="00C3268D" w:rsidRDefault="00E81933" w:rsidP="00E81933">
      <w:pPr>
        <w:ind w:left="708"/>
        <w:jc w:val="both"/>
        <w:rPr>
          <w:rFonts w:ascii="Arial" w:hAnsi="Arial" w:cs="Arial"/>
          <w:sz w:val="20"/>
          <w:szCs w:val="20"/>
        </w:rPr>
      </w:pPr>
      <w:r w:rsidRPr="00C3268D">
        <w:rPr>
          <w:rFonts w:ascii="Arial" w:hAnsi="Arial" w:cs="Arial"/>
          <w:sz w:val="20"/>
          <w:szCs w:val="20"/>
        </w:rPr>
        <w:t>Á Diretoria Legislativa, para os devidos fins.</w:t>
      </w:r>
    </w:p>
    <w:p w:rsidR="00E81933" w:rsidRPr="00C3268D" w:rsidRDefault="00E81933" w:rsidP="00E819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81933" w:rsidRPr="00C3268D" w:rsidRDefault="00E81933" w:rsidP="00E819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81933" w:rsidRPr="00C3268D" w:rsidRDefault="00E81933" w:rsidP="00E81933">
      <w:pPr>
        <w:rPr>
          <w:rFonts w:ascii="Arial" w:hAnsi="Arial" w:cs="Arial"/>
          <w:sz w:val="20"/>
          <w:szCs w:val="20"/>
        </w:rPr>
      </w:pPr>
    </w:p>
    <w:p w:rsidR="00E81933" w:rsidRPr="00C3268D" w:rsidRDefault="00E81933" w:rsidP="00E81933">
      <w:pPr>
        <w:rPr>
          <w:rFonts w:ascii="Arial" w:hAnsi="Arial" w:cs="Arial"/>
          <w:sz w:val="20"/>
          <w:szCs w:val="20"/>
        </w:rPr>
      </w:pPr>
      <w:r w:rsidRPr="00C3268D"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E81933" w:rsidRPr="00C3268D" w:rsidRDefault="00E81933" w:rsidP="00E81933">
      <w:pPr>
        <w:rPr>
          <w:rFonts w:ascii="Arial" w:hAnsi="Arial" w:cs="Arial"/>
          <w:sz w:val="16"/>
          <w:szCs w:val="16"/>
        </w:rPr>
      </w:pPr>
      <w:r w:rsidRPr="00C3268D">
        <w:rPr>
          <w:rFonts w:ascii="Arial" w:hAnsi="Arial" w:cs="Arial"/>
          <w:sz w:val="16"/>
          <w:szCs w:val="16"/>
        </w:rPr>
        <w:t xml:space="preserve">                  Procurador-</w:t>
      </w:r>
      <w:r w:rsidR="00C3268D" w:rsidRPr="00C3268D">
        <w:rPr>
          <w:rFonts w:ascii="Arial" w:hAnsi="Arial" w:cs="Arial"/>
          <w:sz w:val="16"/>
          <w:szCs w:val="16"/>
        </w:rPr>
        <w:t xml:space="preserve">Geral- </w:t>
      </w:r>
      <w:r w:rsidRPr="00C3268D">
        <w:rPr>
          <w:rFonts w:ascii="Arial" w:hAnsi="Arial" w:cs="Arial"/>
          <w:sz w:val="16"/>
          <w:szCs w:val="16"/>
        </w:rPr>
        <w:t>OAB/RS 18.594</w:t>
      </w:r>
    </w:p>
    <w:p w:rsidR="00E81933" w:rsidRPr="00C3268D" w:rsidRDefault="00E81933" w:rsidP="00E81933">
      <w:pPr>
        <w:rPr>
          <w:sz w:val="20"/>
          <w:szCs w:val="20"/>
        </w:rPr>
      </w:pPr>
    </w:p>
    <w:p w:rsidR="00E81933" w:rsidRPr="00C3268D" w:rsidRDefault="00E81933" w:rsidP="00E81933">
      <w:pPr>
        <w:rPr>
          <w:sz w:val="20"/>
          <w:szCs w:val="20"/>
        </w:rPr>
      </w:pPr>
    </w:p>
    <w:p w:rsidR="00E81933" w:rsidRPr="00C3268D" w:rsidRDefault="00E81933" w:rsidP="00E81933">
      <w:pPr>
        <w:rPr>
          <w:sz w:val="20"/>
          <w:szCs w:val="20"/>
        </w:rPr>
      </w:pPr>
    </w:p>
    <w:p w:rsidR="00E81933" w:rsidRPr="00C3268D" w:rsidRDefault="00E81933" w:rsidP="00E81933">
      <w:pPr>
        <w:rPr>
          <w:sz w:val="20"/>
          <w:szCs w:val="20"/>
        </w:rPr>
      </w:pPr>
    </w:p>
    <w:p w:rsidR="00E81933" w:rsidRPr="00C3268D" w:rsidRDefault="00E81933" w:rsidP="00E8193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1933" w:rsidRPr="00C3268D" w:rsidRDefault="00E81933" w:rsidP="00E8193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1933" w:rsidRPr="00C3268D" w:rsidRDefault="00E81933" w:rsidP="00E8193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A42548" w:rsidRPr="00C3268D" w:rsidRDefault="00A42548">
      <w:pPr>
        <w:rPr>
          <w:sz w:val="20"/>
          <w:szCs w:val="20"/>
        </w:rPr>
      </w:pPr>
    </w:p>
    <w:sectPr w:rsidR="00A42548" w:rsidRPr="00C3268D" w:rsidSect="00094AD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33"/>
    <w:rsid w:val="00094ADF"/>
    <w:rsid w:val="00317623"/>
    <w:rsid w:val="00632268"/>
    <w:rsid w:val="006D1FCF"/>
    <w:rsid w:val="00960652"/>
    <w:rsid w:val="00A30794"/>
    <w:rsid w:val="00A42548"/>
    <w:rsid w:val="00AC4989"/>
    <w:rsid w:val="00BD6E71"/>
    <w:rsid w:val="00C3268D"/>
    <w:rsid w:val="00E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BCA0C-589A-4A10-A763-AE8FA2C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1933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E81933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193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81933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E81933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styleId="NormalWeb">
    <w:name w:val="Normal (Web)"/>
    <w:basedOn w:val="Normal"/>
    <w:semiHidden/>
    <w:unhideWhenUsed/>
    <w:rsid w:val="00E81933"/>
    <w:pPr>
      <w:spacing w:before="100" w:beforeAutospacing="1" w:after="100" w:afterAutospacing="1"/>
      <w:ind w:left="300"/>
    </w:pPr>
  </w:style>
  <w:style w:type="paragraph" w:styleId="Ttulo">
    <w:name w:val="Title"/>
    <w:basedOn w:val="Normal"/>
    <w:link w:val="TtuloChar"/>
    <w:qFormat/>
    <w:rsid w:val="00E81933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E8193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81933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8193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8193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81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81933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E81933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qFormat/>
    <w:rsid w:val="00E8193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A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2015-05-25T13:24:00Z</cp:lastPrinted>
  <dcterms:created xsi:type="dcterms:W3CDTF">2015-05-21T18:38:00Z</dcterms:created>
  <dcterms:modified xsi:type="dcterms:W3CDTF">2015-05-25T16:28:00Z</dcterms:modified>
</cp:coreProperties>
</file>