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E5" w:rsidRDefault="004835E5" w:rsidP="004835E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835E5" w:rsidRDefault="004835E5" w:rsidP="004835E5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835E5" w:rsidRDefault="004835E5" w:rsidP="004835E5">
      <w:pPr>
        <w:pStyle w:val="Ttulo1"/>
        <w:rPr>
          <w:rFonts w:ascii="Arial" w:hAnsi="Arial" w:cs="Arial"/>
          <w:sz w:val="20"/>
        </w:rPr>
      </w:pPr>
    </w:p>
    <w:p w:rsidR="004835E5" w:rsidRDefault="004835E5" w:rsidP="004835E5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1F37D9">
        <w:rPr>
          <w:rFonts w:ascii="Arial" w:hAnsi="Arial" w:cs="Arial"/>
          <w:sz w:val="20"/>
        </w:rPr>
        <w:t xml:space="preserve"> </w:t>
      </w:r>
      <w:bookmarkStart w:id="0" w:name="_GoBack"/>
      <w:bookmarkEnd w:id="0"/>
      <w:r w:rsidR="00E72080">
        <w:rPr>
          <w:rFonts w:ascii="Arial" w:hAnsi="Arial" w:cs="Arial"/>
          <w:sz w:val="20"/>
        </w:rPr>
        <w:t>169</w:t>
      </w:r>
      <w:r>
        <w:rPr>
          <w:rFonts w:ascii="Arial" w:hAnsi="Arial" w:cs="Arial"/>
          <w:sz w:val="20"/>
        </w:rPr>
        <w:t>/17.</w:t>
      </w:r>
    </w:p>
    <w:p w:rsidR="004835E5" w:rsidRDefault="004835E5" w:rsidP="004835E5">
      <w:pPr>
        <w:ind w:left="4536"/>
        <w:rPr>
          <w:rFonts w:ascii="Arial" w:hAnsi="Arial" w:cs="Arial"/>
          <w:b/>
          <w:sz w:val="20"/>
          <w:szCs w:val="20"/>
        </w:rPr>
      </w:pPr>
    </w:p>
    <w:p w:rsidR="004835E5" w:rsidRDefault="004835E5" w:rsidP="004835E5">
      <w:pPr>
        <w:ind w:left="4536"/>
        <w:rPr>
          <w:rFonts w:ascii="Arial" w:hAnsi="Arial" w:cs="Arial"/>
          <w:b/>
          <w:sz w:val="20"/>
          <w:szCs w:val="20"/>
        </w:rPr>
      </w:pPr>
    </w:p>
    <w:p w:rsidR="004835E5" w:rsidRDefault="004835E5" w:rsidP="004835E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PROCESSO </w:t>
      </w:r>
      <w:r w:rsidR="001F37D9">
        <w:rPr>
          <w:rFonts w:ascii="Arial" w:hAnsi="Arial" w:cs="Arial"/>
          <w:b/>
          <w:sz w:val="20"/>
          <w:szCs w:val="20"/>
        </w:rPr>
        <w:t>Nº 813</w:t>
      </w:r>
      <w:r>
        <w:rPr>
          <w:rFonts w:ascii="Arial" w:hAnsi="Arial" w:cs="Arial"/>
          <w:b/>
          <w:sz w:val="20"/>
          <w:szCs w:val="20"/>
        </w:rPr>
        <w:t>/17.</w:t>
      </w:r>
    </w:p>
    <w:p w:rsidR="004835E5" w:rsidRDefault="004835E5" w:rsidP="004835E5">
      <w:pPr>
        <w:ind w:left="453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PLL Nº 78/17.</w:t>
      </w:r>
    </w:p>
    <w:p w:rsidR="004835E5" w:rsidRDefault="004835E5" w:rsidP="004835E5">
      <w:pPr>
        <w:rPr>
          <w:rFonts w:ascii="Arial" w:hAnsi="Arial" w:cs="Arial"/>
        </w:rPr>
      </w:pPr>
    </w:p>
    <w:p w:rsidR="004835E5" w:rsidRDefault="004835E5" w:rsidP="00483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 o Projeto de Lei do Legislativo em epígrafe, que estabelece a instalação </w:t>
      </w:r>
      <w:r w:rsidR="001F37D9">
        <w:rPr>
          <w:rFonts w:ascii="Arial" w:hAnsi="Arial" w:cs="Arial"/>
          <w:sz w:val="20"/>
          <w:szCs w:val="20"/>
        </w:rPr>
        <w:t>de palcos</w:t>
      </w:r>
      <w:r>
        <w:rPr>
          <w:rFonts w:ascii="Arial" w:hAnsi="Arial" w:cs="Arial"/>
          <w:sz w:val="20"/>
          <w:szCs w:val="20"/>
        </w:rPr>
        <w:t xml:space="preserve"> móveis na Esquina Democrática e no Largo Jornalista Glênio Peres, localizados no Bairro Centro Histórico.</w:t>
      </w:r>
    </w:p>
    <w:p w:rsidR="004835E5" w:rsidRDefault="004835E5" w:rsidP="00483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Consoante dispõe a Carta Magna, no artigo 30, inciso I, compete aos Municípios legislar sobre assuntos de interesse local.</w:t>
      </w:r>
    </w:p>
    <w:p w:rsidR="004835E5" w:rsidRDefault="004835E5" w:rsidP="004835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Alegre, por sua vez, declara a competência do Município para prover tudo quanto concerne ao interesse local, para dispor sobre a administração e utilização de seus bens, e para regulamentar a utilização de logradouros públicos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(artigo 8º, incisos VII e XIV, e artigo 9º, inciso IV).</w:t>
      </w:r>
    </w:p>
    <w:p w:rsidR="004835E5" w:rsidRDefault="004835E5" w:rsidP="004835E5">
      <w:pPr>
        <w:pStyle w:val="Corpodetexto"/>
        <w:rPr>
          <w:rFonts w:cs="Arial"/>
          <w:sz w:val="20"/>
        </w:rPr>
      </w:pPr>
      <w:r>
        <w:rPr>
          <w:rFonts w:cs="Arial"/>
          <w:sz w:val="20"/>
        </w:rPr>
        <w:tab/>
        <w:t xml:space="preserve">Há previsão legal para atuação do legislador municipal no âmbito da matéria objeto da proposição, </w:t>
      </w:r>
      <w:r w:rsidR="00E72080">
        <w:rPr>
          <w:rFonts w:cs="Arial"/>
          <w:sz w:val="20"/>
        </w:rPr>
        <w:t xml:space="preserve">consoante se </w:t>
      </w:r>
      <w:r>
        <w:rPr>
          <w:rFonts w:cs="Arial"/>
          <w:sz w:val="20"/>
        </w:rPr>
        <w:t>vê.</w:t>
      </w:r>
    </w:p>
    <w:p w:rsidR="004835E5" w:rsidRDefault="004835E5" w:rsidP="004835E5">
      <w:pPr>
        <w:jc w:val="both"/>
        <w:rPr>
          <w:rFonts w:cs="Arial"/>
        </w:rPr>
      </w:pPr>
      <w:r>
        <w:rPr>
          <w:rFonts w:ascii="Arial" w:hAnsi="Arial" w:cs="Arial"/>
          <w:sz w:val="20"/>
          <w:szCs w:val="20"/>
        </w:rPr>
        <w:tab/>
        <w:t>Contudo, o projeto de lei em exame tem conteúdo normativo que implica destinação de bens e verbas públic</w:t>
      </w:r>
      <w:r w:rsidR="00E7208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s, incidindo, vênia concedida, em violação ao disposto no artigo 94, inciso XII, da Lei Orgânica, que defere competência privativa ao Chefe do Poder Executivo para realizar a administração municipal. </w:t>
      </w:r>
    </w:p>
    <w:p w:rsidR="004835E5" w:rsidRDefault="004835E5" w:rsidP="004835E5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4835E5" w:rsidRDefault="004835E5" w:rsidP="004835E5">
      <w:pPr>
        <w:jc w:val="both"/>
        <w:rPr>
          <w:rFonts w:ascii="Arial" w:hAnsi="Arial" w:cs="Arial"/>
          <w:sz w:val="20"/>
        </w:rPr>
      </w:pPr>
    </w:p>
    <w:p w:rsidR="004835E5" w:rsidRDefault="004835E5" w:rsidP="00483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À Diretoria Legislativa, para os devidos fins.</w:t>
      </w:r>
    </w:p>
    <w:p w:rsidR="004835E5" w:rsidRDefault="004835E5" w:rsidP="00483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 31 de março de 2.017.</w:t>
      </w:r>
    </w:p>
    <w:p w:rsidR="004835E5" w:rsidRDefault="004835E5" w:rsidP="004835E5">
      <w:pPr>
        <w:rPr>
          <w:rFonts w:ascii="Arial" w:hAnsi="Arial" w:cs="Arial"/>
          <w:sz w:val="20"/>
          <w:szCs w:val="20"/>
        </w:rPr>
      </w:pPr>
    </w:p>
    <w:p w:rsidR="004835E5" w:rsidRDefault="004835E5" w:rsidP="004835E5">
      <w:pPr>
        <w:rPr>
          <w:rFonts w:ascii="Arial" w:hAnsi="Arial" w:cs="Arial"/>
          <w:sz w:val="20"/>
          <w:szCs w:val="20"/>
        </w:rPr>
      </w:pPr>
    </w:p>
    <w:p w:rsidR="004835E5" w:rsidRDefault="004835E5" w:rsidP="004835E5">
      <w:pPr>
        <w:rPr>
          <w:rFonts w:ascii="Arial" w:hAnsi="Arial" w:cs="Arial"/>
        </w:rPr>
      </w:pPr>
    </w:p>
    <w:p w:rsidR="004835E5" w:rsidRDefault="004835E5" w:rsidP="004835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Claudio Roberto Velasquez</w:t>
      </w:r>
    </w:p>
    <w:p w:rsidR="004835E5" w:rsidRDefault="004835E5" w:rsidP="004835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Procurador–Geral - OAB/RS 18.594</w:t>
      </w:r>
    </w:p>
    <w:p w:rsidR="004835E5" w:rsidRDefault="004835E5" w:rsidP="004835E5">
      <w:pPr>
        <w:pStyle w:val="Corpodetexto"/>
      </w:pPr>
    </w:p>
    <w:p w:rsidR="00AF47EE" w:rsidRDefault="00AF47EE"/>
    <w:sectPr w:rsidR="00AF47EE" w:rsidSect="001F37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E5"/>
    <w:rsid w:val="001F37D9"/>
    <w:rsid w:val="004835E5"/>
    <w:rsid w:val="00AF47EE"/>
    <w:rsid w:val="00E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33776-21A9-4354-8043-E3406611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835E5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835E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835E5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835E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835E5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4835E5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2017-03-31T15:10:00Z</dcterms:created>
  <dcterms:modified xsi:type="dcterms:W3CDTF">2017-03-31T19:12:00Z</dcterms:modified>
</cp:coreProperties>
</file>