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18E82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284EFCA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0EFD4B3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98FCBB7" w14:textId="72C1EC0D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 xml:space="preserve">O Projeto de Lei Complementar do Legislativo </w:t>
      </w:r>
      <w:r w:rsidR="006A3B41">
        <w:rPr>
          <w:rFonts w:eastAsia="Calibri"/>
          <w:lang w:eastAsia="en-US"/>
        </w:rPr>
        <w:t xml:space="preserve">nº </w:t>
      </w:r>
      <w:r w:rsidR="001B08C8">
        <w:rPr>
          <w:rFonts w:eastAsia="Calibri"/>
          <w:lang w:eastAsia="en-US"/>
        </w:rPr>
        <w:t>16, de 20</w:t>
      </w:r>
      <w:r w:rsidRPr="00A33E6C">
        <w:rPr>
          <w:rFonts w:eastAsia="Calibri"/>
          <w:lang w:eastAsia="en-US"/>
        </w:rPr>
        <w:t>03</w:t>
      </w:r>
      <w:r w:rsidR="001B08C8">
        <w:rPr>
          <w:rFonts w:eastAsia="Calibri"/>
          <w:lang w:eastAsia="en-US"/>
        </w:rPr>
        <w:t xml:space="preserve"> (PLCL</w:t>
      </w:r>
      <w:r w:rsidR="006A3B41">
        <w:rPr>
          <w:rFonts w:eastAsia="Calibri"/>
          <w:lang w:eastAsia="en-US"/>
        </w:rPr>
        <w:t xml:space="preserve"> </w:t>
      </w:r>
      <w:r w:rsidR="001B08C8">
        <w:rPr>
          <w:rFonts w:eastAsia="Calibri"/>
          <w:lang w:eastAsia="en-US"/>
        </w:rPr>
        <w:t>016/03),</w:t>
      </w:r>
      <w:r w:rsidRPr="00A33E6C">
        <w:rPr>
          <w:rFonts w:eastAsia="Calibri"/>
          <w:lang w:eastAsia="en-US"/>
        </w:rPr>
        <w:t xml:space="preserve"> que foi aprovado e passou a vigorar sob a forma da Lei Complementar </w:t>
      </w:r>
      <w:r w:rsidR="001B08C8">
        <w:rPr>
          <w:rFonts w:eastAsia="Calibri"/>
          <w:lang w:eastAsia="en-US"/>
        </w:rPr>
        <w:t xml:space="preserve">nº </w:t>
      </w:r>
      <w:r w:rsidRPr="00A33E6C">
        <w:rPr>
          <w:rFonts w:eastAsia="Calibri"/>
          <w:lang w:eastAsia="en-US"/>
        </w:rPr>
        <w:t>507</w:t>
      </w:r>
      <w:r w:rsidR="001B08C8">
        <w:rPr>
          <w:rFonts w:eastAsia="Calibri"/>
          <w:lang w:eastAsia="en-US"/>
        </w:rPr>
        <w:t>,</w:t>
      </w:r>
      <w:r w:rsidRPr="00A33E6C">
        <w:rPr>
          <w:rFonts w:eastAsia="Calibri"/>
          <w:lang w:eastAsia="en-US"/>
        </w:rPr>
        <w:t xml:space="preserve"> de 5 de agosto de 2004, acrescentou o artigo 20-A à Lei Complementar n</w:t>
      </w:r>
      <w:r w:rsidR="001B08C8">
        <w:rPr>
          <w:rFonts w:eastAsia="Calibri"/>
          <w:lang w:eastAsia="en-US"/>
        </w:rPr>
        <w:t>º</w:t>
      </w:r>
      <w:r w:rsidRPr="00A33E6C">
        <w:rPr>
          <w:rFonts w:eastAsia="Calibri"/>
          <w:lang w:eastAsia="en-US"/>
        </w:rPr>
        <w:t xml:space="preserve"> 12</w:t>
      </w:r>
      <w:r w:rsidR="001B08C8">
        <w:rPr>
          <w:rFonts w:eastAsia="Calibri"/>
          <w:lang w:eastAsia="en-US"/>
        </w:rPr>
        <w:t>,</w:t>
      </w:r>
      <w:r w:rsidRPr="00A33E6C">
        <w:rPr>
          <w:rFonts w:eastAsia="Calibri"/>
          <w:lang w:eastAsia="en-US"/>
        </w:rPr>
        <w:t xml:space="preserve"> de 7 de janeiro de 1975.</w:t>
      </w:r>
    </w:p>
    <w:p w14:paraId="7C87138D" w14:textId="77777777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> </w:t>
      </w:r>
    </w:p>
    <w:p w14:paraId="650613E3" w14:textId="1489A08B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 xml:space="preserve">A principal mudança trazida foi a inclusão da necessidade de consulta à população, mediante plebiscito, para </w:t>
      </w:r>
      <w:r w:rsidR="00157D64">
        <w:rPr>
          <w:rFonts w:eastAsia="Calibri"/>
          <w:lang w:eastAsia="en-US"/>
        </w:rPr>
        <w:t>realizar</w:t>
      </w:r>
      <w:r w:rsidRPr="00A33E6C">
        <w:rPr>
          <w:rFonts w:eastAsia="Calibri"/>
          <w:lang w:eastAsia="en-US"/>
        </w:rPr>
        <w:t xml:space="preserve"> cercamento</w:t>
      </w:r>
      <w:r w:rsidR="006A3B41">
        <w:rPr>
          <w:rFonts w:eastAsia="Calibri"/>
          <w:lang w:eastAsia="en-US"/>
        </w:rPr>
        <w:t>s</w:t>
      </w:r>
      <w:r w:rsidRPr="00A33E6C">
        <w:rPr>
          <w:rFonts w:eastAsia="Calibri"/>
          <w:lang w:eastAsia="en-US"/>
        </w:rPr>
        <w:t xml:space="preserve"> de espaços públicos</w:t>
      </w:r>
      <w:r w:rsidR="006A3B41">
        <w:rPr>
          <w:rFonts w:eastAsia="Calibri"/>
          <w:lang w:eastAsia="en-US"/>
        </w:rPr>
        <w:t>,</w:t>
      </w:r>
      <w:r w:rsidRPr="00A33E6C">
        <w:rPr>
          <w:rFonts w:eastAsia="Calibri"/>
          <w:lang w:eastAsia="en-US"/>
        </w:rPr>
        <w:t xml:space="preserve"> como praças, parques e logradouros.</w:t>
      </w:r>
    </w:p>
    <w:p w14:paraId="3535DB7C" w14:textId="77777777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> </w:t>
      </w:r>
    </w:p>
    <w:p w14:paraId="6E31ECBA" w14:textId="47F5730C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>Na exposiç</w:t>
      </w:r>
      <w:r w:rsidR="00463F1D">
        <w:rPr>
          <w:rFonts w:eastAsia="Calibri"/>
          <w:lang w:eastAsia="en-US"/>
        </w:rPr>
        <w:t>ão</w:t>
      </w:r>
      <w:r w:rsidRPr="00A33E6C">
        <w:rPr>
          <w:rFonts w:eastAsia="Calibri"/>
          <w:lang w:eastAsia="en-US"/>
        </w:rPr>
        <w:t xml:space="preserve"> de motivos do PLCL 016/03, encontram-se argumentos de que, uma vez que praças e parques se constituem em patrimônio do povo de Porto Alegre, a </w:t>
      </w:r>
      <w:r w:rsidR="006A3B41">
        <w:rPr>
          <w:rFonts w:eastAsia="Calibri"/>
          <w:lang w:eastAsia="en-US"/>
        </w:rPr>
        <w:t>esse</w:t>
      </w:r>
      <w:r w:rsidR="006A3B41" w:rsidRPr="00A33E6C">
        <w:rPr>
          <w:rFonts w:eastAsia="Calibri"/>
          <w:lang w:eastAsia="en-US"/>
        </w:rPr>
        <w:t xml:space="preserve"> </w:t>
      </w:r>
      <w:r w:rsidRPr="00A33E6C">
        <w:rPr>
          <w:rFonts w:eastAsia="Calibri"/>
          <w:lang w:eastAsia="en-US"/>
        </w:rPr>
        <w:t xml:space="preserve">deve ser delegada a decisão no que tange </w:t>
      </w:r>
      <w:r w:rsidR="00463F1D">
        <w:rPr>
          <w:rFonts w:eastAsia="Calibri"/>
          <w:lang w:eastAsia="en-US"/>
        </w:rPr>
        <w:t>à</w:t>
      </w:r>
      <w:r w:rsidRPr="00A33E6C">
        <w:rPr>
          <w:rFonts w:eastAsia="Calibri"/>
          <w:lang w:eastAsia="en-US"/>
        </w:rPr>
        <w:t xml:space="preserve"> permissão de cercamento desses locais.</w:t>
      </w:r>
    </w:p>
    <w:p w14:paraId="0C537CC1" w14:textId="77777777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> </w:t>
      </w:r>
    </w:p>
    <w:p w14:paraId="79E5C237" w14:textId="15576630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 xml:space="preserve">À época, a Procuradoria da Casa apontou que tal proposição feria o </w:t>
      </w:r>
      <w:r w:rsidR="00463F1D">
        <w:rPr>
          <w:rFonts w:eastAsia="Calibri"/>
          <w:lang w:eastAsia="en-US"/>
        </w:rPr>
        <w:t xml:space="preserve">inc. XII do </w:t>
      </w:r>
      <w:r w:rsidRPr="00A33E6C">
        <w:rPr>
          <w:rFonts w:eastAsia="Calibri"/>
          <w:lang w:eastAsia="en-US"/>
        </w:rPr>
        <w:t>art</w:t>
      </w:r>
      <w:r w:rsidR="00463F1D">
        <w:rPr>
          <w:rFonts w:eastAsia="Calibri"/>
          <w:lang w:eastAsia="en-US"/>
        </w:rPr>
        <w:t xml:space="preserve">. </w:t>
      </w:r>
      <w:r w:rsidRPr="00A33E6C">
        <w:rPr>
          <w:rFonts w:eastAsia="Calibri"/>
          <w:lang w:eastAsia="en-US"/>
        </w:rPr>
        <w:t>94 da Lei Orgânica do Município, de que iniciativa do gênero competia privativamente ao chefe do Poder Executivo. Da mesma forma, a C</w:t>
      </w:r>
      <w:r w:rsidR="00463F1D">
        <w:rPr>
          <w:rFonts w:eastAsia="Calibri"/>
          <w:lang w:eastAsia="en-US"/>
        </w:rPr>
        <w:t xml:space="preserve">omissão de </w:t>
      </w:r>
      <w:r w:rsidRPr="00A33E6C">
        <w:rPr>
          <w:rFonts w:eastAsia="Calibri"/>
          <w:lang w:eastAsia="en-US"/>
        </w:rPr>
        <w:t>C</w:t>
      </w:r>
      <w:r w:rsidR="00463F1D">
        <w:rPr>
          <w:rFonts w:eastAsia="Calibri"/>
          <w:lang w:eastAsia="en-US"/>
        </w:rPr>
        <w:t xml:space="preserve">onstituição e </w:t>
      </w:r>
      <w:r w:rsidRPr="00A33E6C">
        <w:rPr>
          <w:rFonts w:eastAsia="Calibri"/>
          <w:lang w:eastAsia="en-US"/>
        </w:rPr>
        <w:t>J</w:t>
      </w:r>
      <w:r w:rsidR="00463F1D">
        <w:rPr>
          <w:rFonts w:eastAsia="Calibri"/>
          <w:lang w:eastAsia="en-US"/>
        </w:rPr>
        <w:t>ustiça (CCJ) da Casa</w:t>
      </w:r>
      <w:r w:rsidRPr="00A33E6C">
        <w:rPr>
          <w:rFonts w:eastAsia="Calibri"/>
          <w:lang w:eastAsia="en-US"/>
        </w:rPr>
        <w:t xml:space="preserve"> foi unânime, entre os vereadores votantes, na rejeição da matéria, tanto em função do </w:t>
      </w:r>
      <w:r w:rsidR="00C57B5F">
        <w:rPr>
          <w:rFonts w:eastAsia="Calibri"/>
          <w:lang w:eastAsia="en-US"/>
        </w:rPr>
        <w:t>“</w:t>
      </w:r>
      <w:r w:rsidRPr="00A33E6C">
        <w:rPr>
          <w:rFonts w:eastAsia="Calibri"/>
          <w:lang w:eastAsia="en-US"/>
        </w:rPr>
        <w:t>vício de iniciativa</w:t>
      </w:r>
      <w:r w:rsidR="00C57B5F">
        <w:rPr>
          <w:rFonts w:eastAsia="Calibri"/>
          <w:lang w:eastAsia="en-US"/>
        </w:rPr>
        <w:t>”</w:t>
      </w:r>
      <w:r w:rsidR="00C57B5F" w:rsidRPr="00A33E6C">
        <w:rPr>
          <w:rFonts w:eastAsia="Calibri"/>
          <w:lang w:eastAsia="en-US"/>
        </w:rPr>
        <w:t xml:space="preserve"> </w:t>
      </w:r>
      <w:r w:rsidRPr="00A33E6C">
        <w:rPr>
          <w:rFonts w:eastAsia="Calibri"/>
          <w:lang w:eastAsia="en-US"/>
        </w:rPr>
        <w:t>existente, quanto pela exigência de responsabilidades conjuntas feitas pela matéria.</w:t>
      </w:r>
    </w:p>
    <w:p w14:paraId="7E58AA78" w14:textId="54F80A4A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</w:p>
    <w:p w14:paraId="2A90AC6A" w14:textId="77777777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>Apesar disso, o projeto foi aprovado.</w:t>
      </w:r>
    </w:p>
    <w:p w14:paraId="0B332ADD" w14:textId="77777777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> </w:t>
      </w:r>
    </w:p>
    <w:p w14:paraId="45001748" w14:textId="481310B6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>Primeiramente, vale destacar que os vereadores são, por definição</w:t>
      </w:r>
      <w:r w:rsidR="006A3B41">
        <w:rPr>
          <w:rFonts w:eastAsia="Calibri"/>
          <w:lang w:eastAsia="en-US"/>
        </w:rPr>
        <w:t>,</w:t>
      </w:r>
      <w:r w:rsidRPr="00A33E6C">
        <w:rPr>
          <w:rFonts w:eastAsia="Calibri"/>
          <w:lang w:eastAsia="en-US"/>
        </w:rPr>
        <w:t xml:space="preserve"> os representantes do povo no âmbito legislativo. Da mesma forma, a partir da eleição, o prefeito recebe a chancela de administrador maior da cidade. A partir de um sistema de freios e contrapesos, legislativo e executivo entram em harmonia na coordenação e trato daquilo que é de interesse público.</w:t>
      </w:r>
    </w:p>
    <w:p w14:paraId="2F8A0B6F" w14:textId="77777777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> </w:t>
      </w:r>
    </w:p>
    <w:p w14:paraId="5DE578D7" w14:textId="4AAFA454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>Nesse sentido, não é razoável o argumento de que a vontade do povo não está devidamente contemplada por seus representantes políticos eleitos e que</w:t>
      </w:r>
      <w:r w:rsidR="00FB0DA0">
        <w:rPr>
          <w:rFonts w:eastAsia="Calibri"/>
          <w:lang w:eastAsia="en-US"/>
        </w:rPr>
        <w:t>,</w:t>
      </w:r>
      <w:r w:rsidRPr="00A33E6C">
        <w:rPr>
          <w:rFonts w:eastAsia="Calibri"/>
          <w:lang w:eastAsia="en-US"/>
        </w:rPr>
        <w:t xml:space="preserve"> por isso, deva ser realizado um plebiscito para que possa ser realizado o cercamento de um parque ou </w:t>
      </w:r>
      <w:r w:rsidR="00FB0DA0">
        <w:rPr>
          <w:rFonts w:eastAsia="Calibri"/>
          <w:lang w:eastAsia="en-US"/>
        </w:rPr>
        <w:t xml:space="preserve">uma </w:t>
      </w:r>
      <w:r w:rsidRPr="00A33E6C">
        <w:rPr>
          <w:rFonts w:eastAsia="Calibri"/>
          <w:lang w:eastAsia="en-US"/>
        </w:rPr>
        <w:t>praça. Tal medida apenas causa o engessamento da gestão executiva ao gerar um ônus exorbitante (um plebiscito) antes que possa ser tomada uma decisão que deveria ser estritamente gerencial.</w:t>
      </w:r>
    </w:p>
    <w:p w14:paraId="4759AFF0" w14:textId="77777777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> </w:t>
      </w:r>
    </w:p>
    <w:p w14:paraId="56BF703D" w14:textId="1A44114A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>Ademais, o art. 4º da Lei Complementar n° 12 prevê que </w:t>
      </w:r>
      <w:r w:rsidRPr="00A33E6C">
        <w:rPr>
          <w:rFonts w:eastAsia="Calibri"/>
          <w:i/>
          <w:iCs/>
          <w:lang w:eastAsia="en-US"/>
        </w:rPr>
        <w:t>“</w:t>
      </w:r>
      <w:r w:rsidR="00FB0DA0">
        <w:rPr>
          <w:rFonts w:eastAsia="Calibri"/>
          <w:i/>
          <w:iCs/>
          <w:lang w:eastAsia="en-US"/>
        </w:rPr>
        <w:t>a</w:t>
      </w:r>
      <w:r w:rsidRPr="00A33E6C">
        <w:rPr>
          <w:rFonts w:eastAsia="Calibri"/>
          <w:i/>
          <w:iCs/>
          <w:lang w:eastAsia="en-US"/>
        </w:rPr>
        <w:t>os bens de uso especial é permitido o livre acesso a todos nas horas de expediente ou de visitação pública, respeitando o seu regulamento próprio”</w:t>
      </w:r>
      <w:r w:rsidRPr="00A33E6C">
        <w:rPr>
          <w:rFonts w:eastAsia="Calibri"/>
          <w:lang w:eastAsia="en-US"/>
        </w:rPr>
        <w:t xml:space="preserve">. Ou seja, a autorização de cercamento de espaços públicos apenas possibilita a adoção de medida que traz maior segurança a esses espaços, sem ferir o livre acesso nas horas estipuladas </w:t>
      </w:r>
      <w:r w:rsidR="006A3B41">
        <w:rPr>
          <w:rFonts w:eastAsia="Calibri"/>
          <w:lang w:eastAsia="en-US"/>
        </w:rPr>
        <w:t xml:space="preserve">para </w:t>
      </w:r>
      <w:r w:rsidRPr="00A33E6C">
        <w:rPr>
          <w:rFonts w:eastAsia="Calibri"/>
          <w:lang w:eastAsia="en-US"/>
        </w:rPr>
        <w:t>visitaç</w:t>
      </w:r>
      <w:r w:rsidR="006A3B41">
        <w:rPr>
          <w:rFonts w:eastAsia="Calibri"/>
          <w:lang w:eastAsia="en-US"/>
        </w:rPr>
        <w:t>ões</w:t>
      </w:r>
      <w:r w:rsidRPr="00A33E6C">
        <w:rPr>
          <w:rFonts w:eastAsia="Calibri"/>
          <w:lang w:eastAsia="en-US"/>
        </w:rPr>
        <w:t xml:space="preserve"> ou qualquer outra medida que possa ferir o uso desses espaços por parte do público.</w:t>
      </w:r>
    </w:p>
    <w:p w14:paraId="0941BD23" w14:textId="77777777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> </w:t>
      </w:r>
    </w:p>
    <w:p w14:paraId="3A01AD8C" w14:textId="4058109C" w:rsidR="00A33E6C" w:rsidRPr="00A33E6C" w:rsidRDefault="00FB0DA0" w:rsidP="00A33E6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Ainda</w:t>
      </w:r>
      <w:r w:rsidR="00A33E6C" w:rsidRPr="00A33E6C">
        <w:rPr>
          <w:rFonts w:eastAsia="Calibri"/>
          <w:lang w:eastAsia="en-US"/>
        </w:rPr>
        <w:t>, a possibilidade de cercamento deve também ser encarada como medida de segurança pública que beneficia a todos. Essa é uma prática comum em diversos países do mundo e</w:t>
      </w:r>
      <w:r w:rsidR="00C57B5F">
        <w:rPr>
          <w:rFonts w:eastAsia="Calibri"/>
          <w:lang w:eastAsia="en-US"/>
        </w:rPr>
        <w:t xml:space="preserve"> em</w:t>
      </w:r>
      <w:r w:rsidR="00A33E6C" w:rsidRPr="00A33E6C">
        <w:rPr>
          <w:rFonts w:eastAsia="Calibri"/>
          <w:lang w:eastAsia="en-US"/>
        </w:rPr>
        <w:t xml:space="preserve"> outras cidades do Brasil. Além disso, facilitar a possibilidade de cercamento representa também uma medida de preservação do patrimônio público pois, com isso, é facilitado o </w:t>
      </w:r>
      <w:r w:rsidR="00A33E6C" w:rsidRPr="00A33E6C">
        <w:rPr>
          <w:rFonts w:eastAsia="Calibri"/>
          <w:lang w:eastAsia="en-US"/>
        </w:rPr>
        <w:lastRenderedPageBreak/>
        <w:t>monitoramento do mobiliário público instalado nesses espaços cuja preservação é de interesse da coletividade.</w:t>
      </w:r>
    </w:p>
    <w:p w14:paraId="6D6BB8C9" w14:textId="77777777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> </w:t>
      </w:r>
    </w:p>
    <w:p w14:paraId="589CEA8F" w14:textId="4681E45B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 xml:space="preserve">Para além disso, a exigência de consulta pública sobre o tema mostrou-se impraticável, mesmo no caso em que aprovada (para o Parque Farroupilha), </w:t>
      </w:r>
      <w:r w:rsidR="00157D64">
        <w:rPr>
          <w:rFonts w:eastAsia="Calibri"/>
          <w:lang w:eastAsia="en-US"/>
        </w:rPr>
        <w:t xml:space="preserve">pois </w:t>
      </w:r>
      <w:r w:rsidRPr="00A33E6C">
        <w:rPr>
          <w:rFonts w:eastAsia="Calibri"/>
          <w:lang w:eastAsia="en-US"/>
        </w:rPr>
        <w:t xml:space="preserve">esta jamais foi realizada </w:t>
      </w:r>
      <w:r w:rsidR="00157D64">
        <w:rPr>
          <w:rFonts w:eastAsia="Calibri"/>
          <w:lang w:eastAsia="en-US"/>
        </w:rPr>
        <w:t>devido à</w:t>
      </w:r>
      <w:r w:rsidRPr="00A33E6C">
        <w:rPr>
          <w:rFonts w:eastAsia="Calibri"/>
          <w:lang w:eastAsia="en-US"/>
        </w:rPr>
        <w:t xml:space="preserve"> ausência de previsão orçamentária para tanto, impedindo que a medida se colocasse, justamente, em prática. Logo, também do ponto de vista das exigências práticas da realidade, é necessária a modificação da previsão legal para que esse tipo de iniciativa seja post</w:t>
      </w:r>
      <w:r w:rsidR="00C57B5F">
        <w:rPr>
          <w:rFonts w:eastAsia="Calibri"/>
          <w:lang w:eastAsia="en-US"/>
        </w:rPr>
        <w:t>o</w:t>
      </w:r>
      <w:r w:rsidRPr="00A33E6C">
        <w:rPr>
          <w:rFonts w:eastAsia="Calibri"/>
          <w:lang w:eastAsia="en-US"/>
        </w:rPr>
        <w:t xml:space="preserve"> em prática, </w:t>
      </w:r>
      <w:r w:rsidR="00C57B5F" w:rsidRPr="00A33E6C">
        <w:rPr>
          <w:rFonts w:eastAsia="Calibri"/>
          <w:lang w:eastAsia="en-US"/>
        </w:rPr>
        <w:t>sujeit</w:t>
      </w:r>
      <w:r w:rsidR="00C57B5F">
        <w:rPr>
          <w:rFonts w:eastAsia="Calibri"/>
          <w:lang w:eastAsia="en-US"/>
        </w:rPr>
        <w:t>o</w:t>
      </w:r>
      <w:r w:rsidR="00C57B5F" w:rsidRPr="00A33E6C">
        <w:rPr>
          <w:rFonts w:eastAsia="Calibri"/>
          <w:lang w:eastAsia="en-US"/>
        </w:rPr>
        <w:t xml:space="preserve"> </w:t>
      </w:r>
      <w:r w:rsidRPr="00A33E6C">
        <w:rPr>
          <w:rFonts w:eastAsia="Calibri"/>
          <w:lang w:eastAsia="en-US"/>
        </w:rPr>
        <w:t xml:space="preserve">a testes e, portanto, </w:t>
      </w:r>
      <w:r w:rsidR="00157D64">
        <w:rPr>
          <w:rFonts w:eastAsia="Calibri"/>
          <w:lang w:eastAsia="en-US"/>
        </w:rPr>
        <w:t xml:space="preserve">se torne </w:t>
      </w:r>
      <w:r w:rsidRPr="00A33E6C">
        <w:rPr>
          <w:rFonts w:eastAsia="Calibri"/>
          <w:lang w:eastAsia="en-US"/>
        </w:rPr>
        <w:t>objeto de crítica positiva ou negativa pela sociedade.</w:t>
      </w:r>
    </w:p>
    <w:p w14:paraId="16DF4D63" w14:textId="77777777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> </w:t>
      </w:r>
    </w:p>
    <w:p w14:paraId="0FA895DA" w14:textId="2D893904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 xml:space="preserve">De outro lado, o cercamento eletrônico, embora positivo, inteligente e tecnológico, ainda é insuficiente para resolver os problemas atinentes à insegurança dos parques e praças no </w:t>
      </w:r>
      <w:r w:rsidR="00157D64">
        <w:rPr>
          <w:rFonts w:eastAsia="Calibri"/>
          <w:lang w:eastAsia="en-US"/>
        </w:rPr>
        <w:t>M</w:t>
      </w:r>
      <w:r w:rsidRPr="00A33E6C">
        <w:rPr>
          <w:rFonts w:eastAsia="Calibri"/>
          <w:lang w:eastAsia="en-US"/>
        </w:rPr>
        <w:t>unicípio. Faz-se necessário repensar o tema de modo a contemplar os interesses da população em ocupar com sentimento de segurança os espaços públicos.</w:t>
      </w:r>
    </w:p>
    <w:p w14:paraId="5189793A" w14:textId="77777777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> </w:t>
      </w:r>
    </w:p>
    <w:p w14:paraId="21FC8648" w14:textId="7875EC04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 xml:space="preserve">Por todo o acima exposto, acreditamos ter motivos suficientes para que seja alterado o art. 20-A, removendo-se da sua redação </w:t>
      </w:r>
      <w:r w:rsidR="00157D64">
        <w:rPr>
          <w:rFonts w:eastAsia="Calibri"/>
          <w:lang w:eastAsia="en-US"/>
        </w:rPr>
        <w:t xml:space="preserve">as </w:t>
      </w:r>
      <w:r w:rsidRPr="00A33E6C">
        <w:rPr>
          <w:rFonts w:eastAsia="Calibri"/>
          <w:lang w:eastAsia="en-US"/>
        </w:rPr>
        <w:t>necessidades pertinentes à realização de plebiscito para que seja feito o cercamento de logradouros, praças e parques do município.</w:t>
      </w:r>
    </w:p>
    <w:p w14:paraId="6FB83452" w14:textId="77777777" w:rsidR="00A33E6C" w:rsidRPr="00A33E6C" w:rsidRDefault="00A33E6C" w:rsidP="00A33E6C">
      <w:pPr>
        <w:ind w:firstLine="1418"/>
        <w:jc w:val="both"/>
        <w:rPr>
          <w:rFonts w:eastAsia="Calibri"/>
          <w:lang w:eastAsia="en-US"/>
        </w:rPr>
      </w:pPr>
      <w:r w:rsidRPr="00A33E6C">
        <w:rPr>
          <w:rFonts w:eastAsia="Calibri"/>
          <w:lang w:eastAsia="en-US"/>
        </w:rPr>
        <w:t> </w:t>
      </w:r>
    </w:p>
    <w:p w14:paraId="229C3B4D" w14:textId="2A600C73" w:rsidR="0003767E" w:rsidRPr="0003767E" w:rsidRDefault="00A33E6C" w:rsidP="0003767E">
      <w:pPr>
        <w:ind w:firstLine="1418"/>
        <w:jc w:val="both"/>
        <w:rPr>
          <w:rFonts w:eastAsia="Calibri"/>
          <w:lang w:eastAsia="en-US"/>
        </w:rPr>
      </w:pPr>
      <w:bookmarkStart w:id="0" w:name="_GoBack"/>
      <w:bookmarkEnd w:id="0"/>
      <w:r w:rsidRPr="00A33E6C">
        <w:rPr>
          <w:rFonts w:eastAsia="Calibri"/>
          <w:lang w:eastAsia="en-US"/>
        </w:rPr>
        <w:t xml:space="preserve">Assim sendo, conta-se com o apoio dos pares para aprovação do presente </w:t>
      </w:r>
      <w:r w:rsidR="00C57B5F">
        <w:rPr>
          <w:rFonts w:eastAsia="Calibri"/>
          <w:lang w:eastAsia="en-US"/>
        </w:rPr>
        <w:t>P</w:t>
      </w:r>
      <w:r w:rsidR="00C57B5F" w:rsidRPr="00A33E6C">
        <w:rPr>
          <w:rFonts w:eastAsia="Calibri"/>
          <w:lang w:eastAsia="en-US"/>
        </w:rPr>
        <w:t>rojeto</w:t>
      </w:r>
      <w:r w:rsidR="00192AED">
        <w:rPr>
          <w:rFonts w:eastAsia="Calibri"/>
          <w:lang w:eastAsia="en-US"/>
        </w:rPr>
        <w:t xml:space="preserve"> de Lei</w:t>
      </w:r>
      <w:r w:rsidRPr="00A33E6C">
        <w:rPr>
          <w:rFonts w:eastAsia="Calibri"/>
          <w:lang w:eastAsia="en-US"/>
        </w:rPr>
        <w:t>, que contribui para dar maior poder de gestão ao Executivo Munic</w:t>
      </w:r>
      <w:r w:rsidR="00157D64">
        <w:rPr>
          <w:rFonts w:eastAsia="Calibri"/>
          <w:lang w:eastAsia="en-US"/>
        </w:rPr>
        <w:t>ipal</w:t>
      </w:r>
      <w:r w:rsidRPr="00A33E6C">
        <w:rPr>
          <w:rFonts w:eastAsia="Calibri"/>
          <w:lang w:eastAsia="en-US"/>
        </w:rPr>
        <w:t>.</w:t>
      </w:r>
    </w:p>
    <w:p w14:paraId="014FF38C" w14:textId="77777777" w:rsidR="0003767E" w:rsidRPr="0003767E" w:rsidRDefault="0003767E" w:rsidP="0003767E">
      <w:pPr>
        <w:ind w:firstLine="1418"/>
        <w:jc w:val="both"/>
        <w:rPr>
          <w:rFonts w:eastAsia="Calibri"/>
          <w:lang w:eastAsia="en-US"/>
        </w:rPr>
      </w:pPr>
    </w:p>
    <w:p w14:paraId="733EF123" w14:textId="47A39F85" w:rsidR="00DA7D7B" w:rsidRDefault="00DA7D7B" w:rsidP="00DA7D7B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1A6B7D">
        <w:rPr>
          <w:rFonts w:eastAsia="Calibri"/>
          <w:lang w:eastAsia="en-US"/>
        </w:rPr>
        <w:t>10</w:t>
      </w:r>
      <w:r w:rsidRPr="00A24D96">
        <w:rPr>
          <w:rFonts w:eastAsia="Calibri"/>
          <w:lang w:eastAsia="en-US"/>
        </w:rPr>
        <w:t xml:space="preserve"> de </w:t>
      </w:r>
      <w:r w:rsidR="001A6B7D">
        <w:rPr>
          <w:rFonts w:eastAsia="Calibri"/>
          <w:lang w:eastAsia="en-US"/>
        </w:rPr>
        <w:t>abril</w:t>
      </w:r>
      <w:r w:rsidRPr="00A24D96">
        <w:rPr>
          <w:rFonts w:eastAsia="Calibri"/>
          <w:lang w:eastAsia="en-US"/>
        </w:rPr>
        <w:t xml:space="preserve"> de </w:t>
      </w:r>
      <w:r w:rsidR="001A6B7D">
        <w:rPr>
          <w:rFonts w:eastAsia="Calibri"/>
          <w:lang w:eastAsia="en-US"/>
        </w:rPr>
        <w:t>2019</w:t>
      </w:r>
      <w:r w:rsidRPr="00A24D96">
        <w:rPr>
          <w:rFonts w:eastAsia="Calibri"/>
          <w:lang w:eastAsia="en-US"/>
        </w:rPr>
        <w:t>.</w:t>
      </w:r>
    </w:p>
    <w:p w14:paraId="3F2F04A8" w14:textId="77777777" w:rsidR="0018404E" w:rsidRDefault="0018404E" w:rsidP="00DA7D7B">
      <w:pPr>
        <w:ind w:firstLine="1418"/>
        <w:jc w:val="both"/>
        <w:rPr>
          <w:rFonts w:eastAsia="Calibri"/>
          <w:lang w:eastAsia="en-US"/>
        </w:rPr>
      </w:pPr>
    </w:p>
    <w:p w14:paraId="09D26A04" w14:textId="77777777" w:rsidR="0018404E" w:rsidRDefault="0018404E" w:rsidP="00DA7D7B">
      <w:pPr>
        <w:ind w:firstLine="1418"/>
        <w:jc w:val="both"/>
        <w:rPr>
          <w:rFonts w:eastAsia="Calibri"/>
          <w:lang w:eastAsia="en-US"/>
        </w:rPr>
      </w:pPr>
    </w:p>
    <w:p w14:paraId="6839CBC8" w14:textId="77777777" w:rsidR="0018404E" w:rsidRDefault="0018404E" w:rsidP="00DA7D7B">
      <w:pPr>
        <w:ind w:firstLine="1418"/>
        <w:jc w:val="both"/>
        <w:rPr>
          <w:rFonts w:eastAsia="Calibri"/>
          <w:lang w:eastAsia="en-US"/>
        </w:rPr>
      </w:pPr>
    </w:p>
    <w:p w14:paraId="0C4B9791" w14:textId="77777777" w:rsidR="0018404E" w:rsidRDefault="0018404E" w:rsidP="00DA7D7B">
      <w:pPr>
        <w:ind w:firstLine="1418"/>
        <w:jc w:val="both"/>
        <w:rPr>
          <w:rFonts w:eastAsia="Calibri"/>
          <w:lang w:eastAsia="en-US"/>
        </w:rPr>
      </w:pPr>
    </w:p>
    <w:p w14:paraId="4B025C55" w14:textId="77777777" w:rsidR="0018404E" w:rsidRDefault="0018404E" w:rsidP="00DA7D7B">
      <w:pPr>
        <w:ind w:firstLine="1418"/>
        <w:jc w:val="both"/>
        <w:rPr>
          <w:rFonts w:eastAsia="Calibri"/>
          <w:lang w:eastAsia="en-US"/>
        </w:rPr>
      </w:pPr>
    </w:p>
    <w:p w14:paraId="349D0DBC" w14:textId="0824AB82" w:rsidR="0018404E" w:rsidRPr="00A24D96" w:rsidRDefault="0018404E" w:rsidP="0018404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 FELIPE CAMOZZATO</w:t>
      </w:r>
    </w:p>
    <w:p w14:paraId="50B5BD28" w14:textId="77777777" w:rsidR="00DA7D7B" w:rsidRDefault="00DA7D7B" w:rsidP="009D1C59">
      <w:pPr>
        <w:jc w:val="center"/>
        <w:rPr>
          <w:rFonts w:eastAsia="Calibri"/>
          <w:lang w:eastAsia="en-US"/>
        </w:rPr>
      </w:pPr>
    </w:p>
    <w:p w14:paraId="67268D0F" w14:textId="77777777" w:rsidR="00DA7D7B" w:rsidRDefault="00DA7D7B" w:rsidP="009D1C59">
      <w:pPr>
        <w:jc w:val="center"/>
        <w:rPr>
          <w:rFonts w:eastAsia="Calibri"/>
          <w:lang w:eastAsia="en-US"/>
        </w:rPr>
      </w:pPr>
    </w:p>
    <w:p w14:paraId="4CFE5702" w14:textId="77777777" w:rsidR="00DA7D7B" w:rsidRDefault="00DA7D7B" w:rsidP="009D1C59">
      <w:pPr>
        <w:jc w:val="center"/>
        <w:rPr>
          <w:rFonts w:eastAsia="Calibri"/>
          <w:lang w:eastAsia="en-US"/>
        </w:rPr>
      </w:pPr>
    </w:p>
    <w:p w14:paraId="545CCA68" w14:textId="77777777" w:rsidR="00DA7D7B" w:rsidRDefault="00DA7D7B" w:rsidP="009D1C59">
      <w:pPr>
        <w:jc w:val="center"/>
        <w:rPr>
          <w:rFonts w:eastAsia="Calibri"/>
          <w:lang w:eastAsia="en-US"/>
        </w:rPr>
      </w:pPr>
    </w:p>
    <w:p w14:paraId="223463D2" w14:textId="77777777" w:rsidR="0003767E" w:rsidRPr="0003767E" w:rsidRDefault="0003767E" w:rsidP="009D1C59">
      <w:pPr>
        <w:jc w:val="center"/>
        <w:rPr>
          <w:rFonts w:eastAsia="Calibri"/>
          <w:lang w:eastAsia="en-US"/>
        </w:rPr>
      </w:pPr>
    </w:p>
    <w:p w14:paraId="4EE6435C" w14:textId="09593ABC" w:rsidR="00DA7D7B" w:rsidRPr="00297479" w:rsidRDefault="00DA7D7B" w:rsidP="00DA7D7B">
      <w:pPr>
        <w:jc w:val="center"/>
        <w:rPr>
          <w:rFonts w:eastAsia="Calibri"/>
          <w:lang w:eastAsia="en-US"/>
        </w:rPr>
      </w:pPr>
      <w:r w:rsidRPr="00297479">
        <w:rPr>
          <w:rFonts w:eastAsia="Calibri"/>
          <w:lang w:eastAsia="en-US"/>
        </w:rPr>
        <w:t xml:space="preserve">VEREADOR </w:t>
      </w:r>
      <w:r w:rsidR="0018404E">
        <w:rPr>
          <w:rFonts w:eastAsia="Calibri"/>
          <w:lang w:eastAsia="en-US"/>
        </w:rPr>
        <w:t>MENDES RIBEIRO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97479"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RICARDO GOMES</w:t>
      </w:r>
    </w:p>
    <w:p w14:paraId="742D75B1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  <w:r w:rsidR="0003767E">
        <w:rPr>
          <w:b/>
          <w:bCs/>
        </w:rPr>
        <w:t xml:space="preserve"> COMPLEMENTAR</w:t>
      </w:r>
    </w:p>
    <w:p w14:paraId="0F090F4D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99CA428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395292A9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FD12819" w14:textId="5E54808E" w:rsidR="00BE065D" w:rsidRDefault="003405EF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3405EF">
        <w:rPr>
          <w:b/>
          <w:bCs/>
        </w:rPr>
        <w:t>Altera o </w:t>
      </w:r>
      <w:r w:rsidRPr="003405EF">
        <w:rPr>
          <w:b/>
          <w:bCs/>
          <w:i/>
          <w:iCs/>
        </w:rPr>
        <w:t>caput </w:t>
      </w:r>
      <w:r w:rsidRPr="003405EF">
        <w:rPr>
          <w:b/>
          <w:bCs/>
        </w:rPr>
        <w:t>e o §2º e revoga o inc. III do</w:t>
      </w:r>
      <w:r w:rsidR="00C8738D">
        <w:rPr>
          <w:b/>
          <w:bCs/>
        </w:rPr>
        <w:t xml:space="preserve"> § 1º, todos</w:t>
      </w:r>
      <w:r w:rsidR="0085460C">
        <w:rPr>
          <w:b/>
          <w:bCs/>
        </w:rPr>
        <w:t xml:space="preserve"> do</w:t>
      </w:r>
      <w:r w:rsidRPr="003405EF">
        <w:rPr>
          <w:b/>
          <w:bCs/>
        </w:rPr>
        <w:t xml:space="preserve"> </w:t>
      </w:r>
      <w:r w:rsidR="00C8738D">
        <w:rPr>
          <w:b/>
          <w:bCs/>
        </w:rPr>
        <w:t>a</w:t>
      </w:r>
      <w:r w:rsidRPr="003405EF">
        <w:rPr>
          <w:b/>
          <w:bCs/>
        </w:rPr>
        <w:t xml:space="preserve">rt. 20-A da Lei Complementar nº 12, de 7 de janeiro de 1975, </w:t>
      </w:r>
      <w:r w:rsidR="00D960A2">
        <w:rPr>
          <w:b/>
          <w:bCs/>
        </w:rPr>
        <w:t xml:space="preserve">e alterações posteriores, </w:t>
      </w:r>
      <w:r w:rsidRPr="003405EF">
        <w:rPr>
          <w:b/>
          <w:bCs/>
        </w:rPr>
        <w:t xml:space="preserve">modificando os </w:t>
      </w:r>
      <w:r w:rsidR="00197104">
        <w:rPr>
          <w:b/>
          <w:bCs/>
        </w:rPr>
        <w:t>critérios de permissão</w:t>
      </w:r>
      <w:r w:rsidR="00197104" w:rsidRPr="003405EF">
        <w:rPr>
          <w:b/>
          <w:bCs/>
        </w:rPr>
        <w:t xml:space="preserve"> </w:t>
      </w:r>
      <w:r w:rsidRPr="003405EF">
        <w:rPr>
          <w:b/>
          <w:bCs/>
        </w:rPr>
        <w:t xml:space="preserve">para cercamento de largos, praças e parques </w:t>
      </w:r>
      <w:r w:rsidR="0085460C">
        <w:rPr>
          <w:b/>
          <w:bCs/>
        </w:rPr>
        <w:t>do Município</w:t>
      </w:r>
      <w:r w:rsidRPr="003405EF">
        <w:rPr>
          <w:b/>
          <w:bCs/>
        </w:rPr>
        <w:t xml:space="preserve"> de Porto Alegre.</w:t>
      </w:r>
    </w:p>
    <w:p w14:paraId="3514A912" w14:textId="77777777" w:rsidR="00BE065D" w:rsidRDefault="00BE065D" w:rsidP="008B44B4">
      <w:pPr>
        <w:autoSpaceDE w:val="0"/>
        <w:autoSpaceDN w:val="0"/>
        <w:adjustRightInd w:val="0"/>
        <w:jc w:val="center"/>
      </w:pPr>
    </w:p>
    <w:p w14:paraId="74A6E6CF" w14:textId="77777777" w:rsidR="008F5315" w:rsidRPr="008B44B4" w:rsidRDefault="008F5315" w:rsidP="008B44B4">
      <w:pPr>
        <w:autoSpaceDE w:val="0"/>
        <w:autoSpaceDN w:val="0"/>
        <w:adjustRightInd w:val="0"/>
        <w:jc w:val="center"/>
      </w:pPr>
    </w:p>
    <w:p w14:paraId="41F19A25" w14:textId="4194C282" w:rsidR="008F5315" w:rsidRDefault="008F5315" w:rsidP="008F5315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3405EF" w:rsidRPr="003405EF">
        <w:t>Ficam alterados o </w:t>
      </w:r>
      <w:r w:rsidR="003405EF" w:rsidRPr="003405EF">
        <w:rPr>
          <w:i/>
          <w:iCs/>
        </w:rPr>
        <w:t>caput </w:t>
      </w:r>
      <w:r w:rsidR="003405EF" w:rsidRPr="003405EF">
        <w:t>e</w:t>
      </w:r>
      <w:r w:rsidR="005D7261">
        <w:t xml:space="preserve"> o</w:t>
      </w:r>
      <w:r w:rsidR="003405EF" w:rsidRPr="003405EF">
        <w:t xml:space="preserve"> §2º </w:t>
      </w:r>
      <w:r w:rsidR="00C8738D">
        <w:t xml:space="preserve">do art. 20-A </w:t>
      </w:r>
      <w:r w:rsidR="003405EF" w:rsidRPr="003405EF">
        <w:t>da Lei Complementar nº 12, de 7 de janeiro de 1975,</w:t>
      </w:r>
      <w:r w:rsidR="00D960A2">
        <w:t xml:space="preserve"> e alterações posteriores,</w:t>
      </w:r>
      <w:r w:rsidR="003405EF" w:rsidRPr="003405EF">
        <w:t xml:space="preserve"> </w:t>
      </w:r>
      <w:r w:rsidR="00C8738D">
        <w:t>conforme segue</w:t>
      </w:r>
      <w:r>
        <w:t>:</w:t>
      </w:r>
    </w:p>
    <w:p w14:paraId="37F16DC7" w14:textId="77777777" w:rsidR="0003767E" w:rsidRDefault="0003767E" w:rsidP="0003767E">
      <w:pPr>
        <w:ind w:firstLine="1418"/>
        <w:jc w:val="both"/>
      </w:pPr>
    </w:p>
    <w:p w14:paraId="440D30C0" w14:textId="52F69F63" w:rsidR="008C0818" w:rsidRDefault="008C0818" w:rsidP="009D1C59">
      <w:pPr>
        <w:tabs>
          <w:tab w:val="left" w:leader="dot" w:pos="9355"/>
        </w:tabs>
        <w:ind w:firstLine="1418"/>
        <w:jc w:val="both"/>
      </w:pPr>
      <w:r>
        <w:t>“Art. 20</w:t>
      </w:r>
      <w:r w:rsidR="003405EF">
        <w:t>-A</w:t>
      </w:r>
      <w:r>
        <w:t xml:space="preserve">.  </w:t>
      </w:r>
      <w:r w:rsidR="003405EF" w:rsidRPr="003405EF">
        <w:t xml:space="preserve">Os logradouros públicos, tais como largos e parques, somente poderão receber cercamento mediante parecer permissível do Conselho Municipal de Desenvolvimento Urbano Ambiental </w:t>
      </w:r>
      <w:r w:rsidR="00C02A39">
        <w:t xml:space="preserve">– </w:t>
      </w:r>
      <w:r w:rsidR="003405EF" w:rsidRPr="003405EF">
        <w:t xml:space="preserve">CMDUA </w:t>
      </w:r>
      <w:r w:rsidR="00C02A39">
        <w:t>–</w:t>
      </w:r>
      <w:r w:rsidR="00C02A39" w:rsidRPr="003405EF">
        <w:t xml:space="preserve"> </w:t>
      </w:r>
      <w:r w:rsidR="003405EF" w:rsidRPr="003405EF">
        <w:t>ao projeto.</w:t>
      </w:r>
    </w:p>
    <w:p w14:paraId="49141E33" w14:textId="77777777" w:rsidR="008C0818" w:rsidRDefault="008C0818" w:rsidP="008C0818">
      <w:pPr>
        <w:ind w:firstLine="1418"/>
        <w:jc w:val="both"/>
      </w:pPr>
    </w:p>
    <w:p w14:paraId="23D76C50" w14:textId="77777777" w:rsidR="008C0818" w:rsidRDefault="008C0818" w:rsidP="008C0818">
      <w:pPr>
        <w:tabs>
          <w:tab w:val="left" w:leader="dot" w:pos="1418"/>
          <w:tab w:val="left" w:leader="dot" w:pos="9355"/>
        </w:tabs>
        <w:ind w:firstLine="1418"/>
        <w:jc w:val="both"/>
      </w:pPr>
      <w:r>
        <w:tab/>
      </w:r>
    </w:p>
    <w:p w14:paraId="51BAD784" w14:textId="77777777" w:rsidR="0094731B" w:rsidRDefault="0094731B" w:rsidP="008C0818">
      <w:pPr>
        <w:tabs>
          <w:tab w:val="left" w:leader="dot" w:pos="1418"/>
          <w:tab w:val="left" w:leader="dot" w:pos="9355"/>
        </w:tabs>
        <w:ind w:firstLine="1418"/>
        <w:jc w:val="both"/>
      </w:pPr>
    </w:p>
    <w:p w14:paraId="51DE1A7D" w14:textId="77777777" w:rsidR="0094731B" w:rsidRDefault="0094731B" w:rsidP="0094731B">
      <w:pPr>
        <w:tabs>
          <w:tab w:val="left" w:leader="dot" w:pos="1418"/>
          <w:tab w:val="left" w:leader="dot" w:pos="9355"/>
        </w:tabs>
        <w:ind w:firstLine="1418"/>
        <w:jc w:val="both"/>
      </w:pPr>
      <w:r>
        <w:tab/>
      </w:r>
    </w:p>
    <w:p w14:paraId="1A62EE1D" w14:textId="77777777" w:rsidR="008C0818" w:rsidRDefault="008C0818" w:rsidP="008C0818">
      <w:pPr>
        <w:ind w:firstLine="1418"/>
        <w:jc w:val="both"/>
      </w:pPr>
    </w:p>
    <w:p w14:paraId="4EDED6EE" w14:textId="6B05F14E" w:rsidR="00CB2646" w:rsidRDefault="008C0818" w:rsidP="003405EF">
      <w:pPr>
        <w:tabs>
          <w:tab w:val="left" w:leader="dot" w:pos="9355"/>
        </w:tabs>
        <w:ind w:firstLine="1418"/>
        <w:jc w:val="both"/>
      </w:pPr>
      <w:r>
        <w:t xml:space="preserve">§ </w:t>
      </w:r>
      <w:r w:rsidR="003405EF">
        <w:t>2</w:t>
      </w:r>
      <w:r>
        <w:t xml:space="preserve">º  </w:t>
      </w:r>
      <w:r w:rsidR="003405EF" w:rsidRPr="003405EF">
        <w:t>O CMDUA deverá manifestar-se com base em projeto paisagístico elaborado por profissional habilitado e considerando os pareceres técnicos dos órgãos competentes do Executivo</w:t>
      </w:r>
      <w:r w:rsidR="009D69C6">
        <w:t xml:space="preserve"> Municipal</w:t>
      </w:r>
      <w:r w:rsidR="00786796">
        <w:t>.</w:t>
      </w:r>
    </w:p>
    <w:p w14:paraId="50AB0DB1" w14:textId="77777777" w:rsidR="0094731B" w:rsidRDefault="0094731B" w:rsidP="003405EF">
      <w:pPr>
        <w:tabs>
          <w:tab w:val="left" w:leader="dot" w:pos="9355"/>
        </w:tabs>
        <w:ind w:firstLine="1418"/>
        <w:jc w:val="both"/>
      </w:pPr>
    </w:p>
    <w:p w14:paraId="53D28150" w14:textId="1AA58431" w:rsidR="00ED36CD" w:rsidRPr="00462AE2" w:rsidRDefault="003405EF" w:rsidP="003405EF">
      <w:pPr>
        <w:tabs>
          <w:tab w:val="left" w:leader="dot" w:pos="1418"/>
          <w:tab w:val="left" w:leader="dot" w:pos="9355"/>
        </w:tabs>
        <w:ind w:firstLine="1418"/>
        <w:jc w:val="both"/>
      </w:pPr>
      <w:r>
        <w:t>........................................................................................................................</w:t>
      </w:r>
      <w:r w:rsidR="00ED36CD">
        <w:t>.”</w:t>
      </w:r>
      <w:r w:rsidR="00ED36CD" w:rsidRPr="00462AE2">
        <w:t xml:space="preserve"> (NR)</w:t>
      </w:r>
    </w:p>
    <w:p w14:paraId="6481920B" w14:textId="77777777" w:rsidR="00DD165F" w:rsidRDefault="00DD165F" w:rsidP="0017042C">
      <w:pPr>
        <w:ind w:firstLine="1418"/>
        <w:jc w:val="both"/>
      </w:pPr>
    </w:p>
    <w:p w14:paraId="59CCAF00" w14:textId="77777777" w:rsidR="00DD165F" w:rsidRDefault="00BE065D" w:rsidP="00DD165F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</w:t>
      </w:r>
      <w:r w:rsidR="002C623E">
        <w:t xml:space="preserve"> Complementar</w:t>
      </w:r>
      <w:r w:rsidR="00DD165F" w:rsidRPr="00C92F44">
        <w:t xml:space="preserve"> entra em vigor na data de sua publicação.</w:t>
      </w:r>
    </w:p>
    <w:p w14:paraId="1C626845" w14:textId="77777777" w:rsidR="00DD165F" w:rsidRDefault="00DD165F" w:rsidP="00DD165F">
      <w:pPr>
        <w:ind w:firstLine="1418"/>
        <w:jc w:val="both"/>
      </w:pPr>
    </w:p>
    <w:p w14:paraId="18762137" w14:textId="5E073DB0" w:rsidR="009253A8" w:rsidRDefault="009253A8" w:rsidP="009253A8">
      <w:pPr>
        <w:ind w:firstLine="1418"/>
        <w:jc w:val="both"/>
      </w:pPr>
      <w:r>
        <w:rPr>
          <w:b/>
        </w:rPr>
        <w:t xml:space="preserve">Art. 3º </w:t>
      </w:r>
      <w:r>
        <w:t xml:space="preserve"> Fica revogado o inc</w:t>
      </w:r>
      <w:r w:rsidR="00C8738D">
        <w:t>.</w:t>
      </w:r>
      <w:r>
        <w:t xml:space="preserve"> III do </w:t>
      </w:r>
      <w:r w:rsidR="00C8738D">
        <w:t xml:space="preserve">§ 1º do art. 20-A da </w:t>
      </w:r>
      <w:r w:rsidR="00C8738D" w:rsidRPr="00C8738D">
        <w:t>Lei Complementar nº 12, de 1975</w:t>
      </w:r>
      <w:r w:rsidR="00C8738D">
        <w:t>.</w:t>
      </w:r>
    </w:p>
    <w:p w14:paraId="7246F112" w14:textId="77777777" w:rsidR="009654CD" w:rsidRDefault="009654CD" w:rsidP="0017042C">
      <w:pPr>
        <w:ind w:firstLine="1418"/>
        <w:jc w:val="both"/>
      </w:pPr>
    </w:p>
    <w:p w14:paraId="269B3075" w14:textId="77777777" w:rsidR="00DA7D7B" w:rsidRDefault="00DA7D7B" w:rsidP="0017042C">
      <w:pPr>
        <w:ind w:firstLine="1418"/>
        <w:jc w:val="both"/>
      </w:pPr>
    </w:p>
    <w:p w14:paraId="2A9EC828" w14:textId="77777777" w:rsidR="00ED36CD" w:rsidRDefault="00ED36CD" w:rsidP="0017042C">
      <w:pPr>
        <w:ind w:firstLine="1418"/>
        <w:jc w:val="both"/>
      </w:pPr>
    </w:p>
    <w:p w14:paraId="28715D3B" w14:textId="77777777" w:rsidR="00ED36CD" w:rsidRDefault="00ED36CD" w:rsidP="0017042C">
      <w:pPr>
        <w:ind w:firstLine="1418"/>
        <w:jc w:val="both"/>
      </w:pPr>
    </w:p>
    <w:p w14:paraId="20126AD7" w14:textId="77777777" w:rsidR="00ED36CD" w:rsidRDefault="00ED36CD" w:rsidP="0017042C">
      <w:pPr>
        <w:ind w:firstLine="1418"/>
        <w:jc w:val="both"/>
      </w:pPr>
    </w:p>
    <w:p w14:paraId="7D997BBD" w14:textId="77777777" w:rsidR="00ED36CD" w:rsidRDefault="00ED36CD" w:rsidP="0017042C">
      <w:pPr>
        <w:ind w:firstLine="1418"/>
        <w:jc w:val="both"/>
      </w:pPr>
    </w:p>
    <w:p w14:paraId="042D065D" w14:textId="77777777" w:rsidR="00ED36CD" w:rsidRDefault="00ED36CD" w:rsidP="0017042C">
      <w:pPr>
        <w:ind w:firstLine="1418"/>
        <w:jc w:val="both"/>
      </w:pPr>
    </w:p>
    <w:p w14:paraId="2DD322FA" w14:textId="77777777" w:rsidR="00ED36CD" w:rsidRDefault="00ED36CD" w:rsidP="0017042C">
      <w:pPr>
        <w:ind w:firstLine="1418"/>
        <w:jc w:val="both"/>
      </w:pPr>
    </w:p>
    <w:p w14:paraId="17F18978" w14:textId="77777777" w:rsidR="00ED36CD" w:rsidRDefault="00ED36CD" w:rsidP="0017042C">
      <w:pPr>
        <w:ind w:firstLine="1418"/>
        <w:jc w:val="both"/>
      </w:pPr>
    </w:p>
    <w:p w14:paraId="2833805C" w14:textId="77777777" w:rsidR="00ED36CD" w:rsidRDefault="00ED36CD" w:rsidP="0017042C">
      <w:pPr>
        <w:ind w:firstLine="1418"/>
        <w:jc w:val="both"/>
      </w:pPr>
    </w:p>
    <w:p w14:paraId="5AD01300" w14:textId="77777777" w:rsidR="00BE065D" w:rsidRDefault="00BE065D" w:rsidP="0017042C">
      <w:pPr>
        <w:ind w:firstLine="1418"/>
        <w:jc w:val="both"/>
      </w:pPr>
    </w:p>
    <w:p w14:paraId="7B75CF12" w14:textId="448F1DE6" w:rsidR="00322580" w:rsidRPr="0017042C" w:rsidRDefault="00E468C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69336" w14:textId="77777777" w:rsidR="002D3F85" w:rsidRDefault="002D3F85">
      <w:r>
        <w:separator/>
      </w:r>
    </w:p>
  </w:endnote>
  <w:endnote w:type="continuationSeparator" w:id="0">
    <w:p w14:paraId="25F2A704" w14:textId="77777777" w:rsidR="002D3F85" w:rsidRDefault="002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6813B" w14:textId="77777777" w:rsidR="002D3F85" w:rsidRDefault="002D3F85">
      <w:r>
        <w:separator/>
      </w:r>
    </w:p>
  </w:footnote>
  <w:footnote w:type="continuationSeparator" w:id="0">
    <w:p w14:paraId="0420E0CC" w14:textId="77777777" w:rsidR="002D3F85" w:rsidRDefault="002D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E7B7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32047" wp14:editId="318A0834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D692627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D7797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5E99BBA" w14:textId="77777777" w:rsidR="00244AC2" w:rsidRDefault="00244AC2" w:rsidP="00244AC2">
    <w:pPr>
      <w:pStyle w:val="Cabealho"/>
      <w:jc w:val="right"/>
      <w:rPr>
        <w:b/>
        <w:bCs/>
      </w:rPr>
    </w:pPr>
  </w:p>
  <w:p w14:paraId="1E082EA0" w14:textId="3E3A168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8404E">
      <w:rPr>
        <w:b/>
        <w:bCs/>
      </w:rPr>
      <w:t>0147</w:t>
    </w:r>
    <w:r w:rsidR="009339B1">
      <w:rPr>
        <w:b/>
        <w:bCs/>
      </w:rPr>
      <w:t>/</w:t>
    </w:r>
    <w:r w:rsidR="0018404E">
      <w:rPr>
        <w:b/>
        <w:bCs/>
      </w:rPr>
      <w:t>19</w:t>
    </w:r>
  </w:p>
  <w:p w14:paraId="3AF173F0" w14:textId="7DEE59CC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</w:t>
    </w:r>
    <w:r w:rsidR="0003767E">
      <w:rPr>
        <w:b/>
        <w:bCs/>
      </w:rPr>
      <w:t>C</w:t>
    </w:r>
    <w:r>
      <w:rPr>
        <w:b/>
        <w:bCs/>
      </w:rPr>
      <w:t>L</w:t>
    </w:r>
    <w:r w:rsidR="00244AC2">
      <w:rPr>
        <w:b/>
        <w:bCs/>
      </w:rPr>
      <w:t xml:space="preserve">   Nº    </w:t>
    </w:r>
    <w:r w:rsidR="0018404E">
      <w:rPr>
        <w:b/>
        <w:bCs/>
      </w:rPr>
      <w:t>008</w:t>
    </w:r>
    <w:r w:rsidR="009339B1">
      <w:rPr>
        <w:b/>
        <w:bCs/>
      </w:rPr>
      <w:t>/</w:t>
    </w:r>
    <w:r w:rsidR="00DA7D7B">
      <w:rPr>
        <w:b/>
        <w:bCs/>
      </w:rPr>
      <w:t>1</w:t>
    </w:r>
    <w:r w:rsidR="0018404E">
      <w:rPr>
        <w:b/>
        <w:bCs/>
      </w:rPr>
      <w:t>9</w:t>
    </w:r>
  </w:p>
  <w:p w14:paraId="5BF9806C" w14:textId="77777777" w:rsidR="00244AC2" w:rsidRDefault="00244AC2" w:rsidP="00244AC2">
    <w:pPr>
      <w:pStyle w:val="Cabealho"/>
      <w:jc w:val="right"/>
      <w:rPr>
        <w:b/>
        <w:bCs/>
      </w:rPr>
    </w:pPr>
  </w:p>
  <w:p w14:paraId="0DC09EF5" w14:textId="77777777" w:rsidR="00244AC2" w:rsidRDefault="00244AC2" w:rsidP="00244AC2">
    <w:pPr>
      <w:pStyle w:val="Cabealho"/>
      <w:jc w:val="right"/>
      <w:rPr>
        <w:b/>
        <w:bCs/>
      </w:rPr>
    </w:pPr>
  </w:p>
  <w:p w14:paraId="319EC9D0" w14:textId="77777777" w:rsidR="00BE065D" w:rsidRDefault="00BE065D" w:rsidP="00244AC2">
    <w:pPr>
      <w:pStyle w:val="Cabealho"/>
      <w:jc w:val="right"/>
      <w:rPr>
        <w:b/>
        <w:bCs/>
      </w:rPr>
    </w:pPr>
  </w:p>
  <w:p w14:paraId="33B0FBD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9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6618"/>
    <w:rsid w:val="0003767E"/>
    <w:rsid w:val="00074F47"/>
    <w:rsid w:val="000962D6"/>
    <w:rsid w:val="000B5093"/>
    <w:rsid w:val="000C70C8"/>
    <w:rsid w:val="000D5087"/>
    <w:rsid w:val="000F41E2"/>
    <w:rsid w:val="000F535A"/>
    <w:rsid w:val="0015472C"/>
    <w:rsid w:val="00157D64"/>
    <w:rsid w:val="0017042C"/>
    <w:rsid w:val="0018404E"/>
    <w:rsid w:val="00192984"/>
    <w:rsid w:val="00192AED"/>
    <w:rsid w:val="00197104"/>
    <w:rsid w:val="001A6B7D"/>
    <w:rsid w:val="001B08C8"/>
    <w:rsid w:val="001D099C"/>
    <w:rsid w:val="001D6044"/>
    <w:rsid w:val="001E3D3B"/>
    <w:rsid w:val="001F5034"/>
    <w:rsid w:val="0020384D"/>
    <w:rsid w:val="002140E7"/>
    <w:rsid w:val="002167E5"/>
    <w:rsid w:val="0023242C"/>
    <w:rsid w:val="00235B9F"/>
    <w:rsid w:val="00244AC2"/>
    <w:rsid w:val="00254F83"/>
    <w:rsid w:val="00281135"/>
    <w:rsid w:val="00291447"/>
    <w:rsid w:val="002B3F98"/>
    <w:rsid w:val="002C2775"/>
    <w:rsid w:val="002C623E"/>
    <w:rsid w:val="002D3F85"/>
    <w:rsid w:val="002D548D"/>
    <w:rsid w:val="002E756C"/>
    <w:rsid w:val="002F321C"/>
    <w:rsid w:val="00315948"/>
    <w:rsid w:val="0032174A"/>
    <w:rsid w:val="00322580"/>
    <w:rsid w:val="003363CE"/>
    <w:rsid w:val="003405EF"/>
    <w:rsid w:val="003544CB"/>
    <w:rsid w:val="00360189"/>
    <w:rsid w:val="0036703E"/>
    <w:rsid w:val="00381F87"/>
    <w:rsid w:val="00386063"/>
    <w:rsid w:val="00390865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27F42"/>
    <w:rsid w:val="00446F25"/>
    <w:rsid w:val="00453B81"/>
    <w:rsid w:val="0046365B"/>
    <w:rsid w:val="00463F1D"/>
    <w:rsid w:val="00467B27"/>
    <w:rsid w:val="0047413E"/>
    <w:rsid w:val="00476834"/>
    <w:rsid w:val="00484022"/>
    <w:rsid w:val="00487D8A"/>
    <w:rsid w:val="00490D78"/>
    <w:rsid w:val="004A5493"/>
    <w:rsid w:val="004B6A9E"/>
    <w:rsid w:val="004C1E11"/>
    <w:rsid w:val="004D2C22"/>
    <w:rsid w:val="004F273F"/>
    <w:rsid w:val="00500319"/>
    <w:rsid w:val="00504671"/>
    <w:rsid w:val="00513C70"/>
    <w:rsid w:val="00520A30"/>
    <w:rsid w:val="00522CEE"/>
    <w:rsid w:val="00542758"/>
    <w:rsid w:val="005530F5"/>
    <w:rsid w:val="00555551"/>
    <w:rsid w:val="00556572"/>
    <w:rsid w:val="0056356B"/>
    <w:rsid w:val="00566328"/>
    <w:rsid w:val="00566A9E"/>
    <w:rsid w:val="00586341"/>
    <w:rsid w:val="005903CC"/>
    <w:rsid w:val="00590FAA"/>
    <w:rsid w:val="00593946"/>
    <w:rsid w:val="005B6CC3"/>
    <w:rsid w:val="005D1965"/>
    <w:rsid w:val="005D7261"/>
    <w:rsid w:val="005E63AE"/>
    <w:rsid w:val="00614CF7"/>
    <w:rsid w:val="00657A69"/>
    <w:rsid w:val="00665150"/>
    <w:rsid w:val="006938C5"/>
    <w:rsid w:val="006951FF"/>
    <w:rsid w:val="006A3B41"/>
    <w:rsid w:val="006B2FE1"/>
    <w:rsid w:val="006B6B34"/>
    <w:rsid w:val="006C4D0C"/>
    <w:rsid w:val="006F67D4"/>
    <w:rsid w:val="00714811"/>
    <w:rsid w:val="00716855"/>
    <w:rsid w:val="0076615D"/>
    <w:rsid w:val="00772B09"/>
    <w:rsid w:val="00781C4A"/>
    <w:rsid w:val="007846FD"/>
    <w:rsid w:val="00786796"/>
    <w:rsid w:val="007953F9"/>
    <w:rsid w:val="007A27D0"/>
    <w:rsid w:val="007A3921"/>
    <w:rsid w:val="007B780C"/>
    <w:rsid w:val="007E0DAA"/>
    <w:rsid w:val="007F5959"/>
    <w:rsid w:val="00802AFD"/>
    <w:rsid w:val="008308D7"/>
    <w:rsid w:val="00831400"/>
    <w:rsid w:val="00837E3C"/>
    <w:rsid w:val="00840FD8"/>
    <w:rsid w:val="00847E49"/>
    <w:rsid w:val="0085460C"/>
    <w:rsid w:val="00855B81"/>
    <w:rsid w:val="00873808"/>
    <w:rsid w:val="008B44B4"/>
    <w:rsid w:val="008C0818"/>
    <w:rsid w:val="008C3A1B"/>
    <w:rsid w:val="008F5315"/>
    <w:rsid w:val="009253A8"/>
    <w:rsid w:val="009339B1"/>
    <w:rsid w:val="00937522"/>
    <w:rsid w:val="00943437"/>
    <w:rsid w:val="0094731B"/>
    <w:rsid w:val="009479C2"/>
    <w:rsid w:val="009654CD"/>
    <w:rsid w:val="00966965"/>
    <w:rsid w:val="009862B4"/>
    <w:rsid w:val="00987893"/>
    <w:rsid w:val="009A61F4"/>
    <w:rsid w:val="009B1BD4"/>
    <w:rsid w:val="009B5889"/>
    <w:rsid w:val="009C04EC"/>
    <w:rsid w:val="009D1C59"/>
    <w:rsid w:val="009D69C6"/>
    <w:rsid w:val="009F51E5"/>
    <w:rsid w:val="009F6C1C"/>
    <w:rsid w:val="009F6E02"/>
    <w:rsid w:val="00A33E6C"/>
    <w:rsid w:val="00A52102"/>
    <w:rsid w:val="00A66336"/>
    <w:rsid w:val="00A74362"/>
    <w:rsid w:val="00A753D4"/>
    <w:rsid w:val="00A810BB"/>
    <w:rsid w:val="00A81C02"/>
    <w:rsid w:val="00A97A15"/>
    <w:rsid w:val="00AC21A3"/>
    <w:rsid w:val="00AC2218"/>
    <w:rsid w:val="00AF1DEA"/>
    <w:rsid w:val="00B03454"/>
    <w:rsid w:val="00B203DA"/>
    <w:rsid w:val="00B2643F"/>
    <w:rsid w:val="00B40877"/>
    <w:rsid w:val="00B4214A"/>
    <w:rsid w:val="00B61774"/>
    <w:rsid w:val="00B93FF9"/>
    <w:rsid w:val="00BC2BBF"/>
    <w:rsid w:val="00BE065D"/>
    <w:rsid w:val="00C008DB"/>
    <w:rsid w:val="00C02A39"/>
    <w:rsid w:val="00C17DA0"/>
    <w:rsid w:val="00C3117A"/>
    <w:rsid w:val="00C41C24"/>
    <w:rsid w:val="00C57B5F"/>
    <w:rsid w:val="00C72428"/>
    <w:rsid w:val="00C8738D"/>
    <w:rsid w:val="00CA0680"/>
    <w:rsid w:val="00CA5C69"/>
    <w:rsid w:val="00CB02AD"/>
    <w:rsid w:val="00CB2646"/>
    <w:rsid w:val="00CB4EF9"/>
    <w:rsid w:val="00CB50C7"/>
    <w:rsid w:val="00CD3926"/>
    <w:rsid w:val="00CD7A70"/>
    <w:rsid w:val="00D00992"/>
    <w:rsid w:val="00D03D16"/>
    <w:rsid w:val="00D23355"/>
    <w:rsid w:val="00D47542"/>
    <w:rsid w:val="00D63064"/>
    <w:rsid w:val="00D71299"/>
    <w:rsid w:val="00D84060"/>
    <w:rsid w:val="00D903DD"/>
    <w:rsid w:val="00D933A1"/>
    <w:rsid w:val="00D9365E"/>
    <w:rsid w:val="00D960A2"/>
    <w:rsid w:val="00DA531B"/>
    <w:rsid w:val="00DA7D7B"/>
    <w:rsid w:val="00DD165F"/>
    <w:rsid w:val="00DE419F"/>
    <w:rsid w:val="00DF6913"/>
    <w:rsid w:val="00E00B36"/>
    <w:rsid w:val="00E22021"/>
    <w:rsid w:val="00E31D59"/>
    <w:rsid w:val="00E35A27"/>
    <w:rsid w:val="00E468C2"/>
    <w:rsid w:val="00E727DB"/>
    <w:rsid w:val="00E7431A"/>
    <w:rsid w:val="00E8628A"/>
    <w:rsid w:val="00EA1192"/>
    <w:rsid w:val="00EC0C7A"/>
    <w:rsid w:val="00ED36CD"/>
    <w:rsid w:val="00EE17D8"/>
    <w:rsid w:val="00EE3E86"/>
    <w:rsid w:val="00EE6C04"/>
    <w:rsid w:val="00EF0B8B"/>
    <w:rsid w:val="00EF3D40"/>
    <w:rsid w:val="00F05832"/>
    <w:rsid w:val="00F26D26"/>
    <w:rsid w:val="00F432AC"/>
    <w:rsid w:val="00F91FB6"/>
    <w:rsid w:val="00F94E39"/>
    <w:rsid w:val="00FA23BF"/>
    <w:rsid w:val="00FA7195"/>
    <w:rsid w:val="00FB0DA0"/>
    <w:rsid w:val="00FB3559"/>
    <w:rsid w:val="00FC43CC"/>
    <w:rsid w:val="00FD7797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5A1E57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933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33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33A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33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3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65EC-A883-4281-9DE0-AB7D6321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681</TotalTime>
  <Pages>3</Pages>
  <Words>872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jose eduardo REVISOR</cp:lastModifiedBy>
  <cp:revision>69</cp:revision>
  <cp:lastPrinted>2015-02-24T14:27:00Z</cp:lastPrinted>
  <dcterms:created xsi:type="dcterms:W3CDTF">2018-05-14T14:18:00Z</dcterms:created>
  <dcterms:modified xsi:type="dcterms:W3CDTF">2019-07-05T18:38:00Z</dcterms:modified>
</cp:coreProperties>
</file>