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t>EXPOSIÇÃO DE MOTIVOS</w:t>
      </w:r>
    </w:p>
    <w:p>
      <w:pPr>
        <w:pStyle w:val="Normal"/>
        <w:jc w:val="center"/>
        <w:rPr>
          <w:bCs/>
          <w:color w:val="000000"/>
        </w:rPr>
      </w:pPr>
      <w:r>
        <w:rPr>
          <w:bCs/>
          <w:color w:val="000000"/>
        </w:rPr>
      </w:r>
    </w:p>
    <w:p>
      <w:pPr>
        <w:pStyle w:val="Normal"/>
        <w:jc w:val="center"/>
        <w:rPr>
          <w:bCs/>
          <w:color w:val="000000"/>
        </w:rPr>
      </w:pPr>
      <w:r>
        <w:rPr>
          <w:bCs/>
          <w:color w:val="000000"/>
        </w:rPr>
      </w:r>
    </w:p>
    <w:p>
      <w:pPr>
        <w:pStyle w:val="Normal"/>
        <w:ind w:firstLine="1418"/>
        <w:jc w:val="both"/>
        <w:rPr/>
      </w:pPr>
      <w:r>
        <w:rPr>
          <w:rFonts w:eastAsia="Calibri"/>
          <w:lang w:eastAsia="en-US"/>
        </w:rPr>
        <w:t>Ainda vivemos tempos difíceis, a pandemia do novo Coronavírus (Covid-19) ainda está presente em todo o mundo e na nossa Cidade. Mesmo assim, devemos permitir que as atividades econômicas sobrevivam, obviamente atendendo rígidos protocolos sanitários.</w:t>
      </w:r>
    </w:p>
    <w:p>
      <w:pPr>
        <w:pStyle w:val="Normal"/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ind w:firstLine="1418"/>
        <w:jc w:val="both"/>
        <w:rPr/>
      </w:pPr>
      <w:r>
        <w:rPr>
          <w:rFonts w:eastAsia="Calibri"/>
          <w:lang w:eastAsia="en-US"/>
        </w:rPr>
        <w:t>Passado um ano de pandemia, a nossa Cidade, aos poucos, está retomando a “normalidade”, com a reabertura gradual das atividades econômicas, dos cultos religiosos e dos eventos em geral.</w:t>
      </w:r>
    </w:p>
    <w:p>
      <w:pPr>
        <w:pStyle w:val="Normal"/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ind w:firstLine="1418"/>
        <w:jc w:val="both"/>
        <w:rPr/>
      </w:pPr>
      <w:r>
        <w:rPr>
          <w:rFonts w:eastAsia="Calibri"/>
          <w:lang w:eastAsia="en-US"/>
        </w:rPr>
        <w:t>O que pretendemos, com este Projeto de Lei, é permitir que os eventos esportivos tenham a participação do público, respeitando os protocolos estabelecidos pelos órgãos públicos para o enfrentamento da pandemia.</w:t>
      </w:r>
    </w:p>
    <w:p>
      <w:pPr>
        <w:pStyle w:val="Normal"/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ind w:firstLine="1418"/>
        <w:jc w:val="both"/>
        <w:rPr/>
      </w:pPr>
      <w:r>
        <w:rPr>
          <w:rFonts w:eastAsia="Calibri"/>
          <w:lang w:eastAsia="en-US"/>
        </w:rPr>
        <w:t>No setor de serviços “jogos de futebol”, usando o critério da cogestão, estando em bandeira vermelha, mas podendo seguir as regras da bandeira laranja, respeitando o distanciamento controlado, conforme o Decreto Municipal nº 20.891, de 9 de janeiro de 2021, e demais portarias, é possível permitir a presença de torcedores nos estádios de Porto Alegre: Beira Rio, Arena do Grêmio e Passo D’Areia.</w:t>
      </w:r>
    </w:p>
    <w:p>
      <w:pPr>
        <w:pStyle w:val="Normal"/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ind w:firstLine="1418"/>
        <w:jc w:val="both"/>
        <w:rPr/>
      </w:pPr>
      <w:r>
        <w:rPr>
          <w:rFonts w:eastAsia="Calibri"/>
          <w:lang w:eastAsia="en-US"/>
        </w:rPr>
        <w:t xml:space="preserve">Obviamente, é necessário atentar para os protocolos referentes a eventos ao ar livre, com público não superior a 25% da capacidade do </w:t>
      </w:r>
      <w:r>
        <w:rPr>
          <w:rStyle w:val="LinkdaInternet"/>
          <w:rFonts w:eastAsia="Calibri"/>
          <w:color w:val="000000"/>
          <w:u w:val="none"/>
          <w:lang w:eastAsia="en-US"/>
        </w:rPr>
        <w:t xml:space="preserve">Plano de Prevenção e Proteção Contra Incêndio (PPCI) para </w:t>
      </w:r>
      <w:r>
        <w:rPr>
          <w:rFonts w:eastAsia="Calibri"/>
          <w:lang w:eastAsia="en-US"/>
        </w:rPr>
        <w:t>o estádio, considerando o público e os trabalhadores do local, com distanciamento de dois metros entre cada pessoa lateral e verticalmente, exceto aos grupos de pessoas do mesmo núcleo familiar. Salientamos que a capacidade de 25% se refere exclusivamente a cada área ou setor, com os protocolos de distanciamento. Dessa forma, o público estaria distribuído em todas as áreas dos estádios.</w:t>
      </w:r>
    </w:p>
    <w:p>
      <w:pPr>
        <w:pStyle w:val="Normal"/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ind w:firstLine="1418"/>
        <w:jc w:val="both"/>
        <w:rPr/>
      </w:pPr>
      <w:r>
        <w:rPr>
          <w:rFonts w:eastAsia="Calibri"/>
          <w:lang w:eastAsia="en-US"/>
        </w:rPr>
        <w:t>Entendo ser de suma importância um olhar para esse setor que gera empregos, necessita de faturamento para a sobrevivência, e que precisa do seu torcedor nas arquibancadas.</w:t>
      </w:r>
    </w:p>
    <w:p>
      <w:pPr>
        <w:pStyle w:val="Normal"/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ind w:firstLine="1418"/>
        <w:jc w:val="both"/>
        <w:rPr/>
      </w:pPr>
      <w:bookmarkStart w:id="0" w:name="__DdeLink__1010_3279273133"/>
      <w:r>
        <w:rPr>
          <w:rFonts w:eastAsia="Calibri"/>
          <w:lang w:eastAsia="en-US"/>
        </w:rPr>
        <w:t>Frente às breves</w:t>
      </w:r>
      <w:bookmarkEnd w:id="0"/>
      <w:r>
        <w:rPr>
          <w:rFonts w:eastAsia="Calibri"/>
          <w:lang w:eastAsia="en-US"/>
        </w:rPr>
        <w:t xml:space="preserve"> razões descritas acima, bem como levando em consideração os impactos financeiros gerados aos clubes em nosso Município, rogo a aprovação desta Proposição pelos nobres pares.</w:t>
      </w:r>
    </w:p>
    <w:p>
      <w:pPr>
        <w:pStyle w:val="Normal"/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ind w:firstLine="1418"/>
        <w:jc w:val="both"/>
        <w:rPr/>
      </w:pPr>
      <w:r>
        <w:rPr>
          <w:rFonts w:eastAsia="Calibri"/>
          <w:lang w:eastAsia="en-US"/>
        </w:rPr>
        <w:t>Sala das Sessões, 2 de fevereiro de 2021.</w:t>
      </w:r>
    </w:p>
    <w:p>
      <w:pPr>
        <w:pStyle w:val="Normal"/>
        <w:ind w:firstLine="1418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ind w:firstLine="1418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ind w:firstLine="1418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ind w:firstLine="1418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ind w:firstLine="1418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jc w:val="center"/>
        <w:rPr/>
      </w:pPr>
      <w:r>
        <w:rPr>
          <w:rFonts w:eastAsia="Calibri"/>
          <w:lang w:eastAsia="en-US"/>
        </w:rPr>
        <w:t>VEREADOR MAURO PINHEIRO</w:t>
      </w:r>
      <w:r>
        <w:br w:type="page"/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PROJETO DE LEI</w:t>
      </w:r>
    </w:p>
    <w:p>
      <w:pPr>
        <w:pStyle w:val="Default"/>
        <w:jc w:val="center"/>
        <w:rPr>
          <w:bCs/>
        </w:rPr>
      </w:pPr>
      <w:r>
        <w:rPr>
          <w:bCs/>
        </w:rPr>
      </w:r>
    </w:p>
    <w:p>
      <w:pPr>
        <w:pStyle w:val="Default"/>
        <w:jc w:val="center"/>
        <w:rPr>
          <w:bCs/>
        </w:rPr>
      </w:pPr>
      <w:r>
        <w:rPr>
          <w:bCs/>
        </w:rPr>
      </w:r>
    </w:p>
    <w:p>
      <w:pPr>
        <w:pStyle w:val="Normal"/>
        <w:jc w:val="center"/>
        <w:rPr/>
      </w:pPr>
      <w:r>
        <w:rPr/>
      </w:r>
    </w:p>
    <w:p>
      <w:pPr>
        <w:pStyle w:val="Normal"/>
        <w:ind w:left="4253" w:hanging="0"/>
        <w:jc w:val="both"/>
        <w:rPr/>
      </w:pPr>
      <w:r>
        <w:rPr>
          <w:b/>
        </w:rPr>
        <w:t xml:space="preserve">Autoriza a presença de público em eventos esportivos no Município de Porto Alegre </w:t>
      </w:r>
      <w:r>
        <w:rPr>
          <w:b/>
          <w:bCs/>
          <w:iCs/>
        </w:rPr>
        <w:t xml:space="preserve">durante o período </w:t>
      </w:r>
      <w:r>
        <w:rPr>
          <w:b/>
          <w:iCs/>
        </w:rPr>
        <w:t>em que vigorar o estado de calamidade pública decretado em decorrência da pandemia do novo Coronavírus (Covid-19)</w:t>
      </w:r>
      <w:r>
        <w:rPr>
          <w:b/>
        </w:rPr>
        <w:t>.</w:t>
      </w:r>
    </w:p>
    <w:p>
      <w:pPr>
        <w:pStyle w:val="Normal"/>
        <w:tabs>
          <w:tab w:val="clear" w:pos="720"/>
          <w:tab w:val="left" w:pos="1400" w:leader="none"/>
        </w:tabs>
        <w:ind w:left="4320" w:hanging="0"/>
        <w:jc w:val="both"/>
        <w:rPr>
          <w:b/>
          <w:b/>
          <w:iCs/>
        </w:rPr>
      </w:pPr>
      <w:r>
        <w:rPr>
          <w:b/>
          <w:iCs/>
        </w:rPr>
      </w:r>
    </w:p>
    <w:p>
      <w:pPr>
        <w:pStyle w:val="Normal"/>
        <w:jc w:val="center"/>
        <w:rPr/>
      </w:pPr>
      <w:r>
        <w:rPr/>
      </w:r>
    </w:p>
    <w:p>
      <w:pPr>
        <w:pStyle w:val="Normal"/>
        <w:ind w:firstLine="1418"/>
        <w:jc w:val="both"/>
        <w:rPr/>
      </w:pPr>
      <w:r>
        <w:rPr>
          <w:b/>
        </w:rPr>
        <w:t xml:space="preserve">Art. 1º </w:t>
      </w:r>
      <w:r>
        <w:rPr/>
        <w:t xml:space="preserve"> Fica autorizada a presença de público em eventos esportivos no Município de Porto Alegre durante o período em que vigorar o estado de calamidade pública decretado em decorrência da pandemia do novo Coronavírus (Covid-19).</w:t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>
          <w:b/>
        </w:rPr>
        <w:t>Parágrafo único.</w:t>
      </w:r>
      <w:r>
        <w:rPr/>
        <w:t xml:space="preserve">  Para os fins de que trata esta Lei, o público não poderá ultrapassar 25% (vinte e cinco por cento) da capacidade prevista no </w:t>
      </w:r>
      <w:r>
        <w:rPr>
          <w:rStyle w:val="LinkdaInternet"/>
          <w:rFonts w:eastAsia="Calibri"/>
          <w:color w:val="000000"/>
          <w:u w:val="none"/>
          <w:lang w:eastAsia="en-US"/>
        </w:rPr>
        <w:t xml:space="preserve">Plano de Prevenção e Proteção Contra Incêndio (PPCI) para </w:t>
      </w:r>
      <w:r>
        <w:rPr>
          <w:rFonts w:eastAsia="Calibri"/>
          <w:lang w:eastAsia="en-US"/>
        </w:rPr>
        <w:t>cada setor ou área do estádio, considerando o público e os trabalhadores necessários para o evento.</w:t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>
          <w:b/>
        </w:rPr>
        <w:t xml:space="preserve">Art. 2º </w:t>
      </w:r>
      <w:r>
        <w:rPr/>
        <w:t xml:space="preserve"> Os protocolos obrigatórios e recomendados de Distanciamento C</w:t>
      </w:r>
      <w:bookmarkStart w:id="1" w:name="_GoBack"/>
      <w:bookmarkEnd w:id="1"/>
      <w:r>
        <w:rPr/>
        <w:t>ontrolado determinados pelo Estado do Rio Grande do Sul, com a adesão ao sistema de cogestão regional pelo Município de Porto Alegre, deverão ser seguidos integralmente, exceto quando determinado a bandeira preta.</w:t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>
          <w:b/>
        </w:rPr>
        <w:t xml:space="preserve">Art. 3º </w:t>
      </w:r>
      <w:r>
        <w:rPr/>
        <w:t xml:space="preserve"> Esta Lei entra em vigor na data de sua publicação.</w:t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tabs>
          <w:tab w:val="clear" w:pos="720"/>
          <w:tab w:val="left" w:pos="708" w:leader="none"/>
          <w:tab w:val="center" w:pos="4419" w:leader="none"/>
          <w:tab w:val="right" w:pos="8838" w:leader="none"/>
        </w:tabs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Default"/>
        <w:jc w:val="both"/>
        <w:rPr/>
      </w:pPr>
      <w:r>
        <w:rPr>
          <w:bCs/>
          <w:sz w:val="20"/>
          <w:szCs w:val="20"/>
        </w:rPr>
        <w:t>/JGF</w:t>
      </w:r>
    </w:p>
    <w:sectPr>
      <w:headerReference w:type="default" r:id="rId2"/>
      <w:type w:val="nextPage"/>
      <w:pgSz w:w="11906" w:h="16838"/>
      <w:pgMar w:left="1701" w:right="851" w:header="227" w:top="1134" w:footer="0" w:bottom="1021" w:gutter="0"/>
      <w:pgNumType w:start="2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Segoe UI">
    <w:charset w:val="00"/>
    <w:family w:val="roman"/>
    <w:pitch w:val="variable"/>
  </w:font>
  <w:font w:name="Arial">
    <w:charset w:val="00"/>
    <w:family w:val="roman"/>
    <w:pitch w:val="variable"/>
  </w:font>
  <w:font w:name="Verdan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right"/>
      <w:rPr>
        <w:b/>
        <w:b/>
        <w:bCs/>
      </w:rPr>
    </w:pPr>
    <w:r>
      <w:rPr>
        <w:b/>
        <w:bCs/>
      </w:rPr>
      <mc:AlternateContent>
        <mc:Choice Requires="wps">
          <w:drawing>
            <wp:anchor behindDoc="1" distT="0" distB="0" distL="0" distR="0" simplePos="0" locked="0" layoutInCell="1" allowOverlap="1" relativeHeight="3" wp14:anchorId="329BA162">
              <wp:simplePos x="0" y="0"/>
              <wp:positionH relativeFrom="column">
                <wp:posOffset>4653280</wp:posOffset>
              </wp:positionH>
              <wp:positionV relativeFrom="paragraph">
                <wp:posOffset>133350</wp:posOffset>
              </wp:positionV>
              <wp:extent cx="1304290" cy="255905"/>
              <wp:effectExtent l="0" t="0" r="15875" b="16510"/>
              <wp:wrapNone/>
              <wp:docPr id="1" name="Retângulo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03560" cy="25524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Retângulo 2" stroked="t" style="position:absolute;margin-left:366.4pt;margin-top:10.5pt;width:102.6pt;height:20.05pt" wp14:anchorId="329BA162">
              <w10:wrap type="none"/>
              <v:fill o:detectmouseclick="t" on="false"/>
              <v:stroke color="black" weight="12600" joinstyle="miter" endcap="flat"/>
            </v:rect>
          </w:pict>
        </mc:Fallback>
      </mc:AlternateContent>
    </w:r>
  </w:p>
  <w:p>
    <w:pPr>
      <w:pStyle w:val="Cabealho"/>
      <w:jc w:val="right"/>
      <w:rPr/>
    </w:pPr>
    <w:r>
      <w:rPr>
        <w:b/>
        <w:bCs/>
      </w:rPr>
      <w:t>CMPA – Fl. 0</w:t>
    </w:r>
    <w:r>
      <w:rPr>
        <w:b/>
        <w:bCs/>
      </w:rPr>
      <w:fldChar w:fldCharType="begin"/>
    </w:r>
    <w:r>
      <w:rPr>
        <w:b/>
        <w:bCs/>
      </w:rPr>
      <w:instrText> PAGE </w:instrText>
    </w:r>
    <w:r>
      <w:rPr>
        <w:b/>
        <w:bCs/>
      </w:rPr>
      <w:fldChar w:fldCharType="separate"/>
    </w:r>
    <w:r>
      <w:rPr>
        <w:b/>
        <w:bCs/>
      </w:rPr>
      <w:t>3</w:t>
    </w:r>
    <w:r>
      <w:rPr>
        <w:b/>
        <w:bCs/>
      </w:rPr>
      <w:fldChar w:fldCharType="end"/>
    </w:r>
    <w:r>
      <w:rPr>
        <w:b/>
        <w:bCs/>
      </w:rPr>
      <w:t>|__</w:t>
    </w:r>
  </w:p>
  <w:p>
    <w:pPr>
      <w:pStyle w:val="Cabealho"/>
      <w:jc w:val="right"/>
      <w:rPr>
        <w:b/>
        <w:b/>
        <w:bCs/>
      </w:rPr>
    </w:pPr>
    <w:r>
      <w:rPr>
        <w:b/>
        <w:bCs/>
      </w:rPr>
    </w:r>
  </w:p>
  <w:p>
    <w:pPr>
      <w:pStyle w:val="Cabealho"/>
      <w:jc w:val="right"/>
      <w:rPr/>
    </w:pPr>
    <w:r>
      <w:rPr>
        <w:b/>
        <w:bCs/>
      </w:rPr>
      <w:t>PROC. Nº   0118/21</w:t>
    </w:r>
  </w:p>
  <w:p>
    <w:pPr>
      <w:pStyle w:val="Cabealho"/>
      <w:jc w:val="right"/>
      <w:rPr/>
    </w:pPr>
    <w:r>
      <w:rPr>
        <w:b/>
        <w:bCs/>
      </w:rPr>
      <w:t>PLL     Nº     035/21</w:t>
    </w:r>
  </w:p>
  <w:p>
    <w:pPr>
      <w:pStyle w:val="Cabealho"/>
      <w:jc w:val="right"/>
      <w:rPr>
        <w:b/>
        <w:b/>
        <w:bCs/>
      </w:rPr>
    </w:pPr>
    <w:r>
      <w:rPr>
        <w:b/>
        <w:bCs/>
      </w:rPr>
    </w:r>
  </w:p>
  <w:p>
    <w:pPr>
      <w:pStyle w:val="Cabealho"/>
      <w:jc w:val="right"/>
      <w:rPr>
        <w:b/>
        <w:b/>
        <w:bCs/>
      </w:rPr>
    </w:pPr>
    <w:r>
      <w:rPr>
        <w:b/>
        <w:bCs/>
      </w:rPr>
    </w:r>
  </w:p>
  <w:p>
    <w:pPr>
      <w:pStyle w:val="Cabealho"/>
      <w:jc w:val="right"/>
      <w:rPr>
        <w:b/>
        <w:b/>
        <w:bCs/>
      </w:rPr>
    </w:pPr>
    <w:r>
      <w:rPr>
        <w:b/>
        <w:bCs/>
      </w:rPr>
    </w:r>
  </w:p>
  <w:p>
    <w:pPr>
      <w:pStyle w:val="Cabealho"/>
      <w:jc w:val="right"/>
      <w:rPr>
        <w:b/>
        <w:b/>
        <w:bCs/>
      </w:rPr>
    </w:pPr>
    <w:r>
      <w:rPr>
        <w:b/>
        <w:bCs/>
      </w:rPr>
    </w:r>
  </w:p>
</w:hdr>
</file>

<file path=word/settings.xml><?xml version="1.0" encoding="utf-8"?>
<w:settings xmlns:w="http://schemas.openxmlformats.org/wordprocessingml/2006/main">
  <w:zoom w:percent="100"/>
  <w:trackRevisions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qFormat="1"/>
    <w:lsdException w:name="heading 8" w:uiPriority="9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paragraph" w:styleId="Ttulo1">
    <w:name w:val="Heading 1"/>
    <w:basedOn w:val="Normal"/>
    <w:next w:val="Normal"/>
    <w:qFormat/>
    <w:pPr>
      <w:keepNext w:val="true"/>
      <w:widowControl w:val="false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 w:val="true"/>
      <w:widowControl w:val="false"/>
      <w:tabs>
        <w:tab w:val="clear" w:pos="720"/>
        <w:tab w:val="left" w:pos="308" w:leader="none"/>
      </w:tabs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 w:val="true"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 w:val="true"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 w:val="true"/>
      <w:ind w:left="708" w:hanging="0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 w:val="true"/>
      <w:ind w:left="4248" w:firstLine="708"/>
      <w:outlineLvl w:val="7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 w:customStyle="1">
    <w:name w:val="Link da Internet"/>
    <w:semiHidden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character" w:styleId="Char" w:customStyle="1">
    <w:name w:val="Char"/>
    <w:semiHidden/>
    <w:qFormat/>
    <w:rPr>
      <w:rFonts w:eastAsia="SimSun"/>
      <w:kern w:val="2"/>
      <w:lang w:eastAsia="zh-CN"/>
    </w:rPr>
  </w:style>
  <w:style w:type="character" w:styleId="Ncoradanotaderodap" w:customStyle="1">
    <w:name w:val="Âncora da nota de rodapé"/>
    <w:rPr>
      <w:vertAlign w:val="superscript"/>
    </w:rPr>
  </w:style>
  <w:style w:type="character" w:styleId="FootnoteCharacters" w:customStyle="1">
    <w:name w:val="Footnote Characters"/>
    <w:semiHidden/>
    <w:unhideWhenUsed/>
    <w:qFormat/>
    <w:rPr>
      <w:vertAlign w:val="superscript"/>
    </w:rPr>
  </w:style>
  <w:style w:type="character" w:styleId="Caracteresdenotaderodap" w:customStyle="1">
    <w:name w:val="Caracteres de nota de rodapé"/>
    <w:qFormat/>
    <w:rPr/>
  </w:style>
  <w:style w:type="character" w:styleId="TextodenotaderodapChar" w:customStyle="1">
    <w:name w:val="Texto de nota de rodapé Char"/>
    <w:link w:val="Textodenotaderodap"/>
    <w:semiHidden/>
    <w:qFormat/>
    <w:rsid w:val="0046365b"/>
    <w:rPr>
      <w:rFonts w:eastAsia="SimSun"/>
      <w:kern w:val="2"/>
      <w:lang w:eastAsia="zh-CN"/>
    </w:rPr>
  </w:style>
  <w:style w:type="character" w:styleId="TextodebaloChar" w:customStyle="1">
    <w:name w:val="Texto de balão Char"/>
    <w:link w:val="Textodebalo"/>
    <w:uiPriority w:val="99"/>
    <w:semiHidden/>
    <w:qFormat/>
    <w:rsid w:val="00be065d"/>
    <w:rPr>
      <w:rFonts w:ascii="Segoe UI" w:hAnsi="Segoe UI" w:cs="Segoe UI"/>
      <w:sz w:val="18"/>
      <w:szCs w:val="18"/>
    </w:rPr>
  </w:style>
  <w:style w:type="character" w:styleId="ListLabel1" w:customStyle="1">
    <w:name w:val="ListLabel 1"/>
    <w:qFormat/>
    <w:rPr>
      <w:color w:val="auto"/>
    </w:rPr>
  </w:style>
  <w:style w:type="character" w:styleId="ListLabel2" w:customStyle="1">
    <w:name w:val="ListLabel 2"/>
    <w:qFormat/>
    <w:rPr>
      <w:rFonts w:eastAsia="Times New Roman" w:cs="Arial"/>
    </w:rPr>
  </w:style>
  <w:style w:type="character" w:styleId="ListLabel3" w:customStyle="1">
    <w:name w:val="ListLabel 3"/>
    <w:qFormat/>
    <w:rPr>
      <w:rFonts w:eastAsia="Times New Roman" w:cs="Arial"/>
    </w:rPr>
  </w:style>
  <w:style w:type="character" w:styleId="ListLabel4" w:customStyle="1">
    <w:name w:val="ListLabel 4"/>
    <w:qFormat/>
    <w:rPr>
      <w:rFonts w:eastAsia="Times New Roman" w:cs="Times New Roman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847ad0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847ad0"/>
    <w:rPr/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847ad0"/>
    <w:rPr>
      <w:b/>
      <w:bCs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Corpodotexto">
    <w:name w:val="Body Text"/>
    <w:basedOn w:val="Normal"/>
    <w:semiHidden/>
    <w:pPr>
      <w:widowControl w:val="false"/>
      <w:tabs>
        <w:tab w:val="left" w:pos="720" w:leader="none"/>
      </w:tabs>
      <w:jc w:val="both"/>
    </w:pPr>
    <w:rPr>
      <w:sz w:val="28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Lucida Sans"/>
    </w:rPr>
  </w:style>
  <w:style w:type="paragraph" w:styleId="Ttulododocumento">
    <w:name w:val="Title"/>
    <w:basedOn w:val="Normal"/>
    <w:next w:val="Corpodotexto"/>
    <w:qFormat/>
    <w:pPr>
      <w:jc w:val="center"/>
    </w:pPr>
    <w:rPr>
      <w:b/>
      <w:bCs/>
      <w:sz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Cabealho">
    <w:name w:val="Header"/>
    <w:basedOn w:val="Normal"/>
    <w:semiHidden/>
    <w:pPr>
      <w:tabs>
        <w:tab w:val="clear" w:pos="720"/>
        <w:tab w:val="center" w:pos="4419" w:leader="none"/>
        <w:tab w:val="right" w:pos="8838" w:leader="none"/>
      </w:tabs>
    </w:pPr>
    <w:rPr/>
  </w:style>
  <w:style w:type="paragraph" w:styleId="Rodap">
    <w:name w:val="Footer"/>
    <w:basedOn w:val="Normal"/>
    <w:semiHidden/>
    <w:pPr>
      <w:tabs>
        <w:tab w:val="clear" w:pos="720"/>
        <w:tab w:val="center" w:pos="4419" w:leader="none"/>
        <w:tab w:val="right" w:pos="8838" w:leader="none"/>
      </w:tabs>
    </w:pPr>
    <w:rPr/>
  </w:style>
  <w:style w:type="paragraph" w:styleId="Eduteste" w:customStyle="1">
    <w:name w:val="edu_teste"/>
    <w:basedOn w:val="Normal"/>
    <w:qFormat/>
    <w:pPr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paragraph" w:styleId="Corpodotextorecuado">
    <w:name w:val="Body Text Indent"/>
    <w:basedOn w:val="Normal"/>
    <w:semiHidden/>
    <w:pPr>
      <w:ind w:left="4678" w:firstLine="2"/>
      <w:jc w:val="both"/>
    </w:pPr>
    <w:rPr>
      <w:b/>
      <w:bCs/>
      <w:sz w:val="28"/>
    </w:rPr>
  </w:style>
  <w:style w:type="paragraph" w:styleId="NormalWeb">
    <w:name w:val="Normal (Web)"/>
    <w:basedOn w:val="Normal"/>
    <w:semiHidden/>
    <w:qFormat/>
    <w:pPr>
      <w:spacing w:beforeAutospacing="1" w:afterAutospacing="1"/>
    </w:pPr>
    <w:rPr/>
  </w:style>
  <w:style w:type="paragraph" w:styleId="BodyText2">
    <w:name w:val="Body Text 2"/>
    <w:basedOn w:val="Normal"/>
    <w:semiHidden/>
    <w:qFormat/>
    <w:pPr/>
    <w:rPr>
      <w:sz w:val="28"/>
      <w:szCs w:val="18"/>
    </w:rPr>
  </w:style>
  <w:style w:type="paragraph" w:styleId="BodyText3">
    <w:name w:val="Body Text 3"/>
    <w:basedOn w:val="Normal"/>
    <w:semiHidden/>
    <w:qFormat/>
    <w:pPr>
      <w:snapToGrid w:val="false"/>
      <w:jc w:val="both"/>
    </w:pPr>
    <w:rPr>
      <w:szCs w:val="20"/>
    </w:rPr>
  </w:style>
  <w:style w:type="paragraph" w:styleId="BodyTextIndent2">
    <w:name w:val="Body Text Indent 2"/>
    <w:basedOn w:val="Normal"/>
    <w:semiHidden/>
    <w:qFormat/>
    <w:pPr>
      <w:ind w:left="2832" w:hanging="0"/>
      <w:jc w:val="both"/>
    </w:pPr>
    <w:rPr>
      <w:b/>
      <w:bCs/>
      <w:sz w:val="28"/>
    </w:rPr>
  </w:style>
  <w:style w:type="paragraph" w:styleId="Ecmsonormal" w:customStyle="1">
    <w:name w:val="ec_msonormal"/>
    <w:basedOn w:val="Normal"/>
    <w:qFormat/>
    <w:pPr>
      <w:spacing w:before="0" w:after="324"/>
    </w:pPr>
    <w:rPr/>
  </w:style>
  <w:style w:type="paragraph" w:styleId="Notaderodap">
    <w:name w:val="Footnote Text"/>
    <w:basedOn w:val="Normal"/>
    <w:link w:val="TextodenotaderodapChar"/>
    <w:semiHidden/>
    <w:unhideWhenUsed/>
    <w:pPr>
      <w:widowControl w:val="false"/>
      <w:suppressLineNumbers/>
      <w:suppressAutoHyphens w:val="true"/>
      <w:ind w:left="339" w:hanging="339"/>
    </w:pPr>
    <w:rPr>
      <w:rFonts w:eastAsia="SimSun"/>
      <w:kern w:val="2"/>
      <w:sz w:val="20"/>
      <w:szCs w:val="20"/>
      <w:lang w:eastAsia="zh-CN"/>
    </w:rPr>
  </w:style>
  <w:style w:type="paragraph" w:styleId="Padre3o" w:customStyle="1">
    <w:name w:val="Padrãe3o"/>
    <w:qFormat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t-BR" w:eastAsia="zh-CN" w:bidi="ar-SA"/>
    </w:rPr>
  </w:style>
  <w:style w:type="paragraph" w:styleId="Padre3e3o" w:customStyle="1">
    <w:name w:val="Padrãe3e3o"/>
    <w:qFormat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t-BR" w:eastAsia="zh-CN" w:bidi="ar-SA"/>
    </w:rPr>
  </w:style>
  <w:style w:type="paragraph" w:styleId="BodyTextIndent3">
    <w:name w:val="Body Text Indent 3"/>
    <w:basedOn w:val="Normal"/>
    <w:semiHidden/>
    <w:qFormat/>
    <w:pPr>
      <w:spacing w:lineRule="auto" w:line="360"/>
      <w:ind w:left="4248" w:hanging="0"/>
      <w:jc w:val="both"/>
    </w:pPr>
    <w:rPr>
      <w:b/>
      <w:szCs w:val="25"/>
    </w:rPr>
  </w:style>
  <w:style w:type="paragraph" w:styleId="Default" w:customStyle="1">
    <w:name w:val="Default"/>
    <w:qFormat/>
    <w:rsid w:val="00847e49"/>
    <w:pPr>
      <w:widowControl/>
      <w:bidi w:val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t-BR" w:eastAsia="en-US" w:bidi="ar-SA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be065d"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479c2"/>
    <w:pPr>
      <w:ind w:left="708" w:hanging="0"/>
    </w:pPr>
    <w:rPr/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847ad0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847ad0"/>
    <w:pPr/>
    <w:rPr>
      <w:b/>
      <w:bCs/>
    </w:rPr>
  </w:style>
  <w:style w:type="paragraph" w:styleId="Revision">
    <w:name w:val="Revision"/>
    <w:uiPriority w:val="99"/>
    <w:semiHidden/>
    <w:qFormat/>
    <w:rsid w:val="00876de5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BA17C-4902-4F86-8A69-A5ED8CF8C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Application>Trio_Office/6.2.8.2$Windows_x86 LibreOffice_project/</Application>
  <Pages>3</Pages>
  <Words>504</Words>
  <Characters>2727</Characters>
  <CharactersWithSpaces>3226</CharactersWithSpaces>
  <Paragraphs>20</Paragraphs>
  <Company>CMPA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2021-03-02T16:30:00Z</dcterms:created>
  <dc:creator>Administrador</dc:creator>
  <dc:description/>
  <dc:language>pt-BR</dc:language>
  <cp:lastModifiedBy>JEFFERSON REVISOR </cp:lastModifiedBy>
  <cp:lastPrinted>2015-02-24T14:27:00Z</cp:lastPrinted>
  <dcterms:modified xsi:type="dcterms:W3CDTF">2021-03-10T16:54:36Z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CMPA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