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4A" w:rsidRDefault="005E48A7">
      <w:pPr>
        <w:spacing w:before="120"/>
        <w:jc w:val="center"/>
      </w:pPr>
      <w:bookmarkStart w:id="0" w:name="_GoBack"/>
      <w:bookmarkEnd w:id="0"/>
      <w:r>
        <w:rPr>
          <w:rFonts w:ascii="Times New Roman" w:hAnsi="Times New Roman" w:cs="Times New Roman"/>
          <w:b/>
          <w:sz w:val="24"/>
        </w:rPr>
        <w:t>CONVITE Nº 06/2017</w:t>
      </w:r>
    </w:p>
    <w:p w:rsidR="00250F4A" w:rsidRDefault="005E48A7">
      <w:pPr>
        <w:jc w:val="center"/>
      </w:pPr>
      <w:r>
        <w:rPr>
          <w:rFonts w:ascii="Times New Roman" w:hAnsi="Times New Roman" w:cs="Times New Roman"/>
          <w:b/>
          <w:sz w:val="24"/>
        </w:rPr>
        <w:t>Processo nº 2909/17</w:t>
      </w:r>
    </w:p>
    <w:p w:rsidR="00250F4A" w:rsidRDefault="00250F4A">
      <w:pPr>
        <w:jc w:val="center"/>
      </w:pPr>
    </w:p>
    <w:p w:rsidR="00250F4A" w:rsidRDefault="00250F4A"/>
    <w:p w:rsidR="00250F4A" w:rsidRDefault="005E48A7">
      <w:pPr>
        <w:jc w:val="center"/>
      </w:pPr>
      <w:r>
        <w:rPr>
          <w:rFonts w:ascii="Times New Roman" w:hAnsi="Times New Roman" w:cs="Times New Roman"/>
          <w:b/>
          <w:sz w:val="24"/>
        </w:rPr>
        <w:t>RELATÓRIO DE EXAME E JULGAMENTO DO RECURSO À FASE DE HABILITAÇÃO</w:t>
      </w:r>
    </w:p>
    <w:p w:rsidR="00250F4A" w:rsidRDefault="00250F4A">
      <w:pPr>
        <w:jc w:val="center"/>
      </w:pPr>
    </w:p>
    <w:p w:rsidR="00250F4A" w:rsidRDefault="00250F4A">
      <w:pPr>
        <w:jc w:val="center"/>
      </w:pPr>
    </w:p>
    <w:p w:rsidR="00250F4A" w:rsidRDefault="005E48A7">
      <w:r>
        <w:rPr>
          <w:rFonts w:ascii="Times New Roman" w:hAnsi="Times New Roman" w:cs="Times New Roman"/>
          <w:sz w:val="24"/>
        </w:rPr>
        <w:t>Senhor Diretor-Geral:</w:t>
      </w:r>
    </w:p>
    <w:p w:rsidR="00250F4A" w:rsidRDefault="00250F4A">
      <w:pPr>
        <w:jc w:val="both"/>
      </w:pPr>
    </w:p>
    <w:p w:rsidR="00250F4A" w:rsidRDefault="005E48A7">
      <w:pPr>
        <w:jc w:val="both"/>
      </w:pPr>
      <w:r>
        <w:rPr>
          <w:rFonts w:ascii="Times New Roman" w:hAnsi="Times New Roman" w:cs="Times New Roman"/>
          <w:sz w:val="24"/>
        </w:rPr>
        <w:t xml:space="preserve">Na data de 27 de dezembro de 2017, a Comissão Especial de Licitação – CEL -, designada pela Portaria nº 885/17, Ata nº 11 (fl. </w:t>
      </w:r>
      <w:r w:rsidR="002F1A4A">
        <w:rPr>
          <w:rFonts w:ascii="Times New Roman" w:hAnsi="Times New Roman" w:cs="Times New Roman"/>
          <w:sz w:val="24"/>
        </w:rPr>
        <w:t>375</w:t>
      </w:r>
      <w:r>
        <w:rPr>
          <w:rFonts w:ascii="Times New Roman" w:hAnsi="Times New Roman" w:cs="Times New Roman"/>
          <w:sz w:val="24"/>
        </w:rPr>
        <w:t xml:space="preserve">) procedeu ao exame e julgamento do recurso interposto, referente </w:t>
      </w:r>
      <w:r w:rsidR="00CE0F5E">
        <w:rPr>
          <w:rFonts w:ascii="Times New Roman" w:hAnsi="Times New Roman" w:cs="Times New Roman"/>
          <w:sz w:val="24"/>
        </w:rPr>
        <w:t>ao Convite</w:t>
      </w:r>
      <w:r>
        <w:rPr>
          <w:rFonts w:ascii="Times New Roman" w:hAnsi="Times New Roman" w:cs="Times New Roman"/>
          <w:b/>
          <w:sz w:val="24"/>
        </w:rPr>
        <w:t xml:space="preserve"> nº 06/2017</w:t>
      </w:r>
      <w:r>
        <w:rPr>
          <w:rFonts w:ascii="Times New Roman" w:hAnsi="Times New Roman" w:cs="Times New Roman"/>
          <w:sz w:val="24"/>
        </w:rPr>
        <w:t xml:space="preserve">, que tem por objeto a </w:t>
      </w:r>
      <w:r>
        <w:rPr>
          <w:rFonts w:ascii="Arial" w:hAnsi="Arial" w:cs="Arial"/>
          <w:b/>
          <w:sz w:val="24"/>
        </w:rPr>
        <w:t>Contratação de empresa especializada para elaboração de projeto executivo, arquitetônico e complementares para os prédios do bloco de utilidades, centro de convivência e galpão crioulo, todos pertencentes a sede da CMPA.</w:t>
      </w:r>
    </w:p>
    <w:p w:rsidR="00250F4A" w:rsidRDefault="00250F4A">
      <w:pPr>
        <w:jc w:val="both"/>
      </w:pPr>
    </w:p>
    <w:p w:rsidR="00250F4A" w:rsidRDefault="005E48A7">
      <w:pPr>
        <w:jc w:val="both"/>
      </w:pPr>
      <w:r>
        <w:rPr>
          <w:rFonts w:ascii="Times New Roman" w:hAnsi="Times New Roman" w:cs="Times New Roman"/>
          <w:sz w:val="24"/>
        </w:rPr>
        <w:t xml:space="preserve">A abertura do Convite foi realizada no dia 21 de dezembro de 2017, conforme ATA nº 09 (fl. 360 – </w:t>
      </w:r>
      <w:r w:rsidR="00CE0F5E">
        <w:rPr>
          <w:rFonts w:ascii="Times New Roman" w:hAnsi="Times New Roman" w:cs="Times New Roman"/>
          <w:sz w:val="24"/>
        </w:rPr>
        <w:t>V</w:t>
      </w:r>
      <w:r w:rsidR="002F1A4A">
        <w:rPr>
          <w:rFonts w:ascii="Times New Roman" w:hAnsi="Times New Roman" w:cs="Times New Roman"/>
          <w:sz w:val="24"/>
        </w:rPr>
        <w:t>.II</w:t>
      </w:r>
      <w:r>
        <w:rPr>
          <w:rFonts w:ascii="Times New Roman" w:hAnsi="Times New Roman" w:cs="Times New Roman"/>
          <w:sz w:val="24"/>
        </w:rPr>
        <w:t xml:space="preserve">), na qual apresentaram propostas as </w:t>
      </w:r>
      <w:r w:rsidR="00CE0F5E">
        <w:rPr>
          <w:rFonts w:ascii="Times New Roman" w:hAnsi="Times New Roman" w:cs="Times New Roman"/>
          <w:sz w:val="24"/>
        </w:rPr>
        <w:t xml:space="preserve">licitantes </w:t>
      </w:r>
      <w:r w:rsidR="00CE0F5E" w:rsidRPr="002F1A4A">
        <w:rPr>
          <w:rFonts w:ascii="Arial" w:hAnsi="Arial" w:cs="Arial"/>
          <w:b/>
          <w:sz w:val="20"/>
          <w:szCs w:val="20"/>
        </w:rPr>
        <w:t>PLANICON</w:t>
      </w:r>
      <w:r>
        <w:rPr>
          <w:rFonts w:ascii="Arial" w:hAnsi="Arial" w:cs="Arial"/>
          <w:b/>
          <w:spacing w:val="20"/>
          <w:sz w:val="20"/>
        </w:rPr>
        <w:t xml:space="preserve"> ENGENHARIA LTDA., CENGES CONSULTORIA E SERVIÇOS LTDA., ELEMENTHAL ENGENHARIA E CONSULTORIA LTDA - ME e PAULO JAIRO TORRES GARCIA EIRELI – ME, </w:t>
      </w:r>
      <w:r>
        <w:rPr>
          <w:rFonts w:ascii="Times New Roman" w:hAnsi="Times New Roman" w:cs="Times New Roman"/>
          <w:sz w:val="24"/>
        </w:rPr>
        <w:t>esta última não se fez representar na abertura.</w:t>
      </w:r>
    </w:p>
    <w:p w:rsidR="00250F4A" w:rsidRDefault="00250F4A">
      <w:pPr>
        <w:jc w:val="both"/>
      </w:pPr>
    </w:p>
    <w:p w:rsidR="00250F4A" w:rsidRDefault="005E48A7">
      <w:pPr>
        <w:jc w:val="both"/>
      </w:pPr>
      <w:r>
        <w:rPr>
          <w:rFonts w:ascii="Times New Roman" w:hAnsi="Times New Roman" w:cs="Times New Roman"/>
          <w:sz w:val="24"/>
        </w:rPr>
        <w:t>Na ocasião, manifestaram-se os representantes das empresas, e posteriormente, após análise das impugnações e documentos, a CEL decidiu pela HABILITAÇÃO das empresas:</w:t>
      </w:r>
    </w:p>
    <w:p w:rsidR="00250F4A" w:rsidRDefault="005E48A7">
      <w:pPr>
        <w:jc w:val="both"/>
      </w:pPr>
      <w:r>
        <w:rPr>
          <w:rFonts w:ascii="Times New Roman" w:hAnsi="Times New Roman" w:cs="Times New Roman"/>
          <w:sz w:val="24"/>
        </w:rPr>
        <w:tab/>
      </w:r>
      <w:r>
        <w:rPr>
          <w:rFonts w:ascii="Times New Roman" w:hAnsi="Times New Roman" w:cs="Times New Roman"/>
          <w:sz w:val="24"/>
        </w:rPr>
        <w:tab/>
      </w:r>
      <w:r>
        <w:rPr>
          <w:rFonts w:ascii="Arial" w:hAnsi="Arial" w:cs="Arial"/>
          <w:b/>
          <w:spacing w:val="20"/>
          <w:sz w:val="20"/>
        </w:rPr>
        <w:t>PLANICON ENGENHARIA LTDA.</w:t>
      </w:r>
    </w:p>
    <w:p w:rsidR="00250F4A" w:rsidRDefault="005E48A7">
      <w:pPr>
        <w:jc w:val="both"/>
      </w:pPr>
      <w:r>
        <w:rPr>
          <w:rFonts w:ascii="Arial" w:hAnsi="Arial" w:cs="Arial"/>
          <w:b/>
          <w:spacing w:val="20"/>
          <w:sz w:val="20"/>
        </w:rPr>
        <w:tab/>
      </w:r>
      <w:r>
        <w:rPr>
          <w:rFonts w:ascii="Arial" w:hAnsi="Arial" w:cs="Arial"/>
          <w:b/>
          <w:spacing w:val="20"/>
          <w:sz w:val="20"/>
        </w:rPr>
        <w:tab/>
        <w:t>CENGES CONSULTORIA E SERVIÇOS LTDA.</w:t>
      </w:r>
    </w:p>
    <w:p w:rsidR="00250F4A" w:rsidRDefault="005E48A7">
      <w:pPr>
        <w:jc w:val="both"/>
      </w:pPr>
      <w:r>
        <w:rPr>
          <w:rFonts w:ascii="Arial" w:hAnsi="Arial" w:cs="Arial"/>
          <w:b/>
          <w:spacing w:val="20"/>
          <w:sz w:val="20"/>
        </w:rPr>
        <w:tab/>
      </w:r>
      <w:r>
        <w:rPr>
          <w:rFonts w:ascii="Arial" w:hAnsi="Arial" w:cs="Arial"/>
          <w:b/>
          <w:spacing w:val="20"/>
          <w:sz w:val="20"/>
        </w:rPr>
        <w:tab/>
        <w:t>PAULO JAIRO TORRES GARCIA EIRELI – ME</w:t>
      </w:r>
    </w:p>
    <w:p w:rsidR="00250F4A" w:rsidRDefault="00250F4A">
      <w:pPr>
        <w:ind w:left="993"/>
        <w:jc w:val="both"/>
      </w:pPr>
    </w:p>
    <w:p w:rsidR="00250F4A" w:rsidRDefault="005E48A7">
      <w:pPr>
        <w:jc w:val="both"/>
      </w:pPr>
      <w:r>
        <w:rPr>
          <w:rFonts w:ascii="Times New Roman" w:hAnsi="Times New Roman" w:cs="Times New Roman"/>
          <w:sz w:val="20"/>
        </w:rPr>
        <w:tab/>
      </w:r>
      <w:r>
        <w:rPr>
          <w:rFonts w:ascii="Times New Roman" w:hAnsi="Times New Roman" w:cs="Times New Roman"/>
          <w:sz w:val="20"/>
        </w:rPr>
        <w:tab/>
        <w:t xml:space="preserve">Considerando, ainda, </w:t>
      </w:r>
      <w:r w:rsidR="002F1A4A">
        <w:rPr>
          <w:rFonts w:ascii="Times New Roman" w:hAnsi="Times New Roman" w:cs="Times New Roman"/>
          <w:sz w:val="20"/>
        </w:rPr>
        <w:t xml:space="preserve">a </w:t>
      </w:r>
      <w:r>
        <w:rPr>
          <w:rFonts w:ascii="Times New Roman" w:hAnsi="Times New Roman" w:cs="Times New Roman"/>
          <w:b/>
          <w:sz w:val="20"/>
        </w:rPr>
        <w:t>INABILITAÇÃO</w:t>
      </w:r>
      <w:r>
        <w:rPr>
          <w:rFonts w:ascii="Times New Roman" w:hAnsi="Times New Roman" w:cs="Times New Roman"/>
          <w:sz w:val="20"/>
        </w:rPr>
        <w:t xml:space="preserve"> da empresa:</w:t>
      </w:r>
    </w:p>
    <w:p w:rsidR="00250F4A" w:rsidRDefault="00250F4A">
      <w:pPr>
        <w:jc w:val="both"/>
      </w:pPr>
    </w:p>
    <w:p w:rsidR="00250F4A" w:rsidRDefault="005E48A7">
      <w:pPr>
        <w:ind w:left="2160"/>
        <w:jc w:val="both"/>
      </w:pPr>
      <w:r>
        <w:rPr>
          <w:rFonts w:ascii="Arial" w:hAnsi="Arial" w:cs="Arial"/>
          <w:b/>
          <w:spacing w:val="20"/>
          <w:sz w:val="20"/>
        </w:rPr>
        <w:t>ELEMENTHAL ENGENHARIA E CONSULTORIA LTDA - ME</w:t>
      </w:r>
      <w:r>
        <w:rPr>
          <w:rFonts w:ascii="Times New Roman" w:hAnsi="Times New Roman" w:cs="Times New Roman"/>
          <w:sz w:val="24"/>
        </w:rPr>
        <w:t>, conforme consta do Relatório nas fls. 361-364 do Vol. II deste processo, aprovado em ATA nº 10 (fl. 365)</w:t>
      </w:r>
    </w:p>
    <w:p w:rsidR="00250F4A" w:rsidRDefault="00250F4A">
      <w:pPr>
        <w:jc w:val="both"/>
      </w:pPr>
    </w:p>
    <w:p w:rsidR="00250F4A" w:rsidRDefault="005E48A7">
      <w:pPr>
        <w:jc w:val="both"/>
      </w:pPr>
      <w:r>
        <w:rPr>
          <w:rFonts w:ascii="Times New Roman" w:hAnsi="Times New Roman" w:cs="Times New Roman"/>
          <w:sz w:val="24"/>
        </w:rPr>
        <w:lastRenderedPageBreak/>
        <w:t xml:space="preserve"> Este julgamento foi publicado no Diário Oficial de Porto Alegre – DOPA em 22 de dezembro de 2017, abrindo-se o prazo para recurso quanto </w:t>
      </w:r>
      <w:r w:rsidR="002F1A4A">
        <w:rPr>
          <w:rFonts w:ascii="Times New Roman" w:hAnsi="Times New Roman" w:cs="Times New Roman"/>
          <w:sz w:val="24"/>
        </w:rPr>
        <w:t>à</w:t>
      </w:r>
      <w:r>
        <w:rPr>
          <w:rFonts w:ascii="Times New Roman" w:hAnsi="Times New Roman" w:cs="Times New Roman"/>
          <w:sz w:val="24"/>
        </w:rPr>
        <w:t xml:space="preserve"> fase de habilitação, de 02 (dois) dias úteis a contar da publicação, conforme dispõe o art. 109, </w:t>
      </w:r>
      <w:r w:rsidR="00BD32F8" w:rsidRPr="00BD32F8">
        <w:rPr>
          <w:rFonts w:ascii="Times New Roman" w:hAnsi="Times New Roman" w:cs="Times New Roman"/>
          <w:sz w:val="24"/>
        </w:rPr>
        <w:t>§</w:t>
      </w:r>
      <w:r>
        <w:rPr>
          <w:rFonts w:ascii="Times New Roman" w:hAnsi="Times New Roman" w:cs="Times New Roman"/>
          <w:sz w:val="24"/>
        </w:rPr>
        <w:t>6, da Lei nº 8666/93 e suas alterações (fl. 366 Vol. II).</w:t>
      </w:r>
    </w:p>
    <w:p w:rsidR="00250F4A" w:rsidRDefault="00250F4A">
      <w:pPr>
        <w:jc w:val="both"/>
      </w:pPr>
    </w:p>
    <w:p w:rsidR="00250F4A" w:rsidRDefault="005E48A7">
      <w:pPr>
        <w:jc w:val="both"/>
      </w:pPr>
      <w:r>
        <w:rPr>
          <w:rFonts w:ascii="Times New Roman" w:hAnsi="Times New Roman" w:cs="Times New Roman"/>
          <w:sz w:val="24"/>
        </w:rPr>
        <w:tab/>
        <w:t xml:space="preserve">A empresa </w:t>
      </w:r>
      <w:r>
        <w:rPr>
          <w:rFonts w:ascii="Arial" w:hAnsi="Arial" w:cs="Arial"/>
          <w:b/>
          <w:spacing w:val="20"/>
          <w:sz w:val="20"/>
        </w:rPr>
        <w:t>ELEMENTHAL ENGENHARIA E CONSULTORIA LTDA - ME</w:t>
      </w:r>
      <w:r>
        <w:rPr>
          <w:rFonts w:ascii="Times New Roman" w:hAnsi="Times New Roman" w:cs="Times New Roman"/>
          <w:sz w:val="24"/>
        </w:rPr>
        <w:t>, na data de 26 de dezembro, ingressou com recurso, processo 3209/17.</w:t>
      </w:r>
    </w:p>
    <w:p w:rsidR="00250F4A" w:rsidRDefault="00250F4A">
      <w:pPr>
        <w:jc w:val="both"/>
      </w:pPr>
    </w:p>
    <w:p w:rsidR="00250F4A" w:rsidRDefault="005E48A7">
      <w:pPr>
        <w:jc w:val="both"/>
      </w:pPr>
      <w:r>
        <w:rPr>
          <w:rFonts w:ascii="Times New Roman" w:hAnsi="Times New Roman" w:cs="Times New Roman"/>
          <w:sz w:val="24"/>
        </w:rPr>
        <w:tab/>
        <w:t>O prazo para interposição de recurso encerrou-se ás 17h do dia 26 de dezembro passado e, na mesma data, às 17h54min, por meio da Notificação nº 02, foi encaminhada cópia de inteiro teor do recurso para todas as licitantes, através de e-mail, para conhecimento, bem como a disponibiliza</w:t>
      </w:r>
      <w:r w:rsidR="00CE0F5E">
        <w:rPr>
          <w:rFonts w:ascii="Times New Roman" w:hAnsi="Times New Roman" w:cs="Times New Roman"/>
          <w:sz w:val="24"/>
        </w:rPr>
        <w:t>çã</w:t>
      </w:r>
      <w:r>
        <w:rPr>
          <w:rFonts w:ascii="Times New Roman" w:hAnsi="Times New Roman" w:cs="Times New Roman"/>
          <w:sz w:val="24"/>
        </w:rPr>
        <w:t xml:space="preserve">o do inteiro teor do referido processo no site da CMPA. Foi solicitado aos interessados quanto </w:t>
      </w:r>
      <w:r w:rsidR="002F1A4A">
        <w:rPr>
          <w:rFonts w:ascii="Times New Roman" w:hAnsi="Times New Roman" w:cs="Times New Roman"/>
          <w:sz w:val="24"/>
        </w:rPr>
        <w:t>à</w:t>
      </w:r>
      <w:r>
        <w:rPr>
          <w:rFonts w:ascii="Times New Roman" w:hAnsi="Times New Roman" w:cs="Times New Roman"/>
          <w:sz w:val="24"/>
        </w:rPr>
        <w:t xml:space="preserve"> fruição do prazo para contrarrecurso.</w:t>
      </w:r>
    </w:p>
    <w:p w:rsidR="00250F4A" w:rsidRDefault="00250F4A">
      <w:pPr>
        <w:jc w:val="both"/>
      </w:pPr>
    </w:p>
    <w:p w:rsidR="00250F4A" w:rsidRDefault="005E48A7">
      <w:pPr>
        <w:jc w:val="both"/>
      </w:pPr>
      <w:r>
        <w:rPr>
          <w:rFonts w:ascii="Times New Roman" w:hAnsi="Times New Roman" w:cs="Times New Roman"/>
          <w:sz w:val="24"/>
        </w:rPr>
        <w:tab/>
        <w:t>As empresas responderam de</w:t>
      </w:r>
      <w:r w:rsidR="00BD32F8">
        <w:rPr>
          <w:rFonts w:ascii="Times New Roman" w:hAnsi="Times New Roman" w:cs="Times New Roman"/>
          <w:sz w:val="24"/>
        </w:rPr>
        <w:t>clinando</w:t>
      </w:r>
      <w:r>
        <w:rPr>
          <w:rFonts w:ascii="Times New Roman" w:hAnsi="Times New Roman" w:cs="Times New Roman"/>
          <w:sz w:val="24"/>
        </w:rPr>
        <w:t xml:space="preserve"> do interesse em contrarrecorrer, tornando assim extinto o prazo, passando a CEL ao julgamento do recurso interposto conforme segue:</w:t>
      </w:r>
    </w:p>
    <w:p w:rsidR="00250F4A" w:rsidRDefault="00250F4A">
      <w:pPr>
        <w:jc w:val="both"/>
      </w:pPr>
    </w:p>
    <w:p w:rsidR="00250F4A" w:rsidRDefault="005E48A7">
      <w:pPr>
        <w:jc w:val="both"/>
      </w:pPr>
      <w:r>
        <w:rPr>
          <w:rFonts w:ascii="Times New Roman" w:hAnsi="Times New Roman" w:cs="Times New Roman"/>
          <w:sz w:val="24"/>
        </w:rPr>
        <w:t xml:space="preserve">A empresa recorrente, foi inabilitada pela CEL com o seguinte fundamento: </w:t>
      </w:r>
    </w:p>
    <w:p w:rsidR="00250F4A" w:rsidRDefault="002F1A4A">
      <w:pPr>
        <w:ind w:left="1416"/>
        <w:jc w:val="both"/>
      </w:pPr>
      <w:r>
        <w:t>Descumprimento dos itens:</w:t>
      </w:r>
    </w:p>
    <w:p w:rsidR="00250F4A" w:rsidRDefault="005E48A7">
      <w:pPr>
        <w:spacing w:before="60"/>
        <w:jc w:val="both"/>
      </w:pPr>
      <w:r w:rsidRPr="00CE0F5E">
        <w:rPr>
          <w:rFonts w:ascii="Arial Unicode MS" w:hAnsi="Arial Unicode MS" w:cs="Arial Unicode MS"/>
          <w:b/>
          <w:sz w:val="18"/>
        </w:rPr>
        <w:t>5.4.1.5.</w:t>
      </w:r>
      <w:r>
        <w:rPr>
          <w:rFonts w:ascii="Arial Unicode MS" w:hAnsi="Arial Unicode MS" w:cs="Arial Unicode MS"/>
          <w:sz w:val="18"/>
        </w:rPr>
        <w:t xml:space="preserve">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w:t>
      </w:r>
      <w:r w:rsidR="002F1A4A">
        <w:rPr>
          <w:rFonts w:ascii="Arial Unicode MS" w:hAnsi="Arial Unicode MS" w:cs="Arial Unicode MS"/>
          <w:sz w:val="18"/>
        </w:rPr>
        <w:t>ado por contabilista habilitado</w:t>
      </w:r>
      <w:r>
        <w:rPr>
          <w:rFonts w:ascii="Arial Unicode MS" w:hAnsi="Arial Unicode MS" w:cs="Arial Unicode MS"/>
          <w:sz w:val="18"/>
        </w:rPr>
        <w:t>.</w:t>
      </w:r>
    </w:p>
    <w:p w:rsidR="00250F4A" w:rsidRPr="00BD32F8" w:rsidRDefault="005E48A7">
      <w:pPr>
        <w:spacing w:before="60"/>
        <w:jc w:val="both"/>
        <w:rPr>
          <w:rFonts w:ascii="Arial Unicode MS" w:eastAsia="Arial Unicode MS" w:hAnsi="Arial Unicode MS" w:cs="Arial Unicode MS"/>
        </w:rPr>
      </w:pPr>
      <w:r>
        <w:rPr>
          <w:rFonts w:ascii="Arial Unicode MS" w:hAnsi="Arial Unicode MS" w:cs="Arial Unicode MS"/>
          <w:sz w:val="18"/>
        </w:rPr>
        <w:t>Quanto ao constante na Declaração do SICAF (fl.328) não apresenta memória de cálculo e não atende</w:t>
      </w:r>
      <w:r w:rsidR="00BD32F8">
        <w:rPr>
          <w:rFonts w:ascii="Arial Unicode MS" w:hAnsi="Arial Unicode MS" w:cs="Arial Unicode MS"/>
          <w:sz w:val="18"/>
        </w:rPr>
        <w:t>, inclusive,</w:t>
      </w:r>
      <w:r>
        <w:rPr>
          <w:rFonts w:ascii="Arial Unicode MS" w:hAnsi="Arial Unicode MS" w:cs="Arial Unicode MS"/>
          <w:sz w:val="18"/>
        </w:rPr>
        <w:t xml:space="preserve"> aos itens </w:t>
      </w:r>
      <w:r w:rsidRPr="00CE0F5E">
        <w:rPr>
          <w:rFonts w:ascii="Arial Unicode MS" w:hAnsi="Arial Unicode MS" w:cs="Arial Unicode MS"/>
          <w:b/>
          <w:sz w:val="18"/>
        </w:rPr>
        <w:t>5.6.1.1, 5.6.1.1</w:t>
      </w:r>
      <w:r w:rsidR="002F1A4A">
        <w:rPr>
          <w:rFonts w:ascii="Arial Unicode MS" w:hAnsi="Arial Unicode MS" w:cs="Arial Unicode MS"/>
          <w:b/>
          <w:sz w:val="18"/>
        </w:rPr>
        <w:t>.1</w:t>
      </w:r>
      <w:r>
        <w:rPr>
          <w:rFonts w:ascii="Arial Unicode MS" w:hAnsi="Arial Unicode MS" w:cs="Arial Unicode MS"/>
          <w:sz w:val="18"/>
        </w:rPr>
        <w:t xml:space="preserve"> </w:t>
      </w:r>
      <w:r w:rsidRPr="00BD32F8">
        <w:rPr>
          <w:rFonts w:ascii="Arial Unicode MS" w:eastAsia="Arial Unicode MS" w:hAnsi="Arial Unicode MS" w:cs="Arial Unicode MS"/>
          <w:sz w:val="18"/>
        </w:rPr>
        <w:t xml:space="preserve">e </w:t>
      </w:r>
      <w:r w:rsidR="00BD32F8" w:rsidRPr="00BD32F8">
        <w:rPr>
          <w:rStyle w:val="Forte"/>
          <w:rFonts w:ascii="Arial Unicode MS" w:eastAsia="Arial Unicode MS" w:hAnsi="Arial Unicode MS" w:cs="Arial Unicode MS"/>
          <w:color w:val="222222"/>
          <w:sz w:val="18"/>
          <w:szCs w:val="18"/>
          <w:bdr w:val="none" w:sz="0" w:space="0" w:color="auto" w:frame="1"/>
          <w:shd w:val="clear" w:color="auto" w:fill="FAFAFA"/>
        </w:rPr>
        <w:t>5.6.1.2</w:t>
      </w:r>
    </w:p>
    <w:p w:rsidR="00250F4A" w:rsidRDefault="005E48A7">
      <w:pPr>
        <w:spacing w:before="60"/>
        <w:jc w:val="both"/>
      </w:pPr>
      <w:r>
        <w:rPr>
          <w:rFonts w:ascii="Arial Unicode MS" w:hAnsi="Arial Unicode MS" w:cs="Arial Unicode MS"/>
          <w:sz w:val="18"/>
        </w:rPr>
        <w:t>5.6.1.1. Para os casos em que o Certificado de Registro Cadastral com rol de documentos e respectivas validades possua Anexo ou Declaração, apenas será aceito o Certificado que esteja acompanhado do respectivo Anexo ou Declaração, sob pena de não conhecimento do mesmo.</w:t>
      </w:r>
    </w:p>
    <w:p w:rsidR="00250F4A" w:rsidRDefault="005E48A7">
      <w:pPr>
        <w:spacing w:before="60"/>
        <w:jc w:val="both"/>
      </w:pPr>
      <w:r>
        <w:rPr>
          <w:rFonts w:ascii="Arial Unicode MS" w:hAnsi="Arial Unicode MS" w:cs="Arial Unicode MS"/>
          <w:sz w:val="18"/>
        </w:rPr>
        <w:t>5.6.1.1.1. Não será aceito como documento válido apenas o Anexo ou Declaração referente a Certificado de Registro Cadastral.</w:t>
      </w:r>
    </w:p>
    <w:p w:rsidR="00250F4A" w:rsidRDefault="005E48A7">
      <w:pPr>
        <w:spacing w:before="60"/>
        <w:jc w:val="both"/>
      </w:pPr>
      <w:r>
        <w:rPr>
          <w:rFonts w:ascii="Arial Unicode MS" w:hAnsi="Arial Unicode MS" w:cs="Arial Unicode MS"/>
          <w:sz w:val="18"/>
        </w:rPr>
        <w:t>5.6.1.2. Os certificados onde constem os indicadores da boa situação financeira da empresa, referidos no subitem 5.4.1.6, deverão ser acompanhados do memorial de cálculo, assinado por contabilista habilitado.</w:t>
      </w:r>
    </w:p>
    <w:p w:rsidR="00250F4A" w:rsidRDefault="00250F4A">
      <w:pPr>
        <w:ind w:left="1416"/>
        <w:jc w:val="both"/>
      </w:pPr>
    </w:p>
    <w:p w:rsidR="00250F4A" w:rsidRDefault="00250F4A">
      <w:pPr>
        <w:jc w:val="both"/>
      </w:pPr>
    </w:p>
    <w:p w:rsidR="00250F4A" w:rsidRDefault="005E48A7">
      <w:pPr>
        <w:jc w:val="both"/>
      </w:pPr>
      <w:r>
        <w:rPr>
          <w:rFonts w:ascii="Times New Roman" w:hAnsi="Times New Roman" w:cs="Times New Roman"/>
          <w:sz w:val="24"/>
        </w:rPr>
        <w:lastRenderedPageBreak/>
        <w:t>A empresa Elementhal recorreu tempestivamente, na data de 26 de dezembro, (Proc. nº 3209/17), com as seguintes alegações:</w:t>
      </w:r>
    </w:p>
    <w:p w:rsidR="00250F4A" w:rsidRDefault="00CE0F5E">
      <w:pPr>
        <w:jc w:val="both"/>
      </w:pPr>
      <w:r>
        <w:t>Preliminarmente...</w:t>
      </w:r>
    </w:p>
    <w:p w:rsidR="00250F4A" w:rsidRDefault="005E48A7" w:rsidP="00CE0F5E">
      <w:pPr>
        <w:jc w:val="both"/>
      </w:pPr>
      <w:r>
        <w:rPr>
          <w:rFonts w:ascii="Times New Roman" w:hAnsi="Times New Roman" w:cs="Times New Roman"/>
          <w:sz w:val="24"/>
        </w:rPr>
        <w:t xml:space="preserve">Invocando </w:t>
      </w:r>
      <w:r w:rsidR="00CE0F5E">
        <w:rPr>
          <w:rFonts w:ascii="Times New Roman" w:hAnsi="Times New Roman" w:cs="Times New Roman"/>
          <w:sz w:val="24"/>
        </w:rPr>
        <w:t>Marçal</w:t>
      </w:r>
      <w:r>
        <w:rPr>
          <w:rFonts w:ascii="Times New Roman" w:hAnsi="Times New Roman" w:cs="Times New Roman"/>
          <w:sz w:val="24"/>
        </w:rPr>
        <w:t xml:space="preserve"> Justen Filho em seu </w:t>
      </w:r>
      <w:r w:rsidR="00CE0F5E">
        <w:rPr>
          <w:rFonts w:ascii="Times New Roman" w:hAnsi="Times New Roman" w:cs="Times New Roman"/>
          <w:sz w:val="24"/>
        </w:rPr>
        <w:t>Comentários</w:t>
      </w:r>
      <w:r>
        <w:rPr>
          <w:rFonts w:ascii="Times New Roman" w:hAnsi="Times New Roman" w:cs="Times New Roman"/>
          <w:sz w:val="24"/>
        </w:rPr>
        <w:t xml:space="preserve"> a Lei de </w:t>
      </w:r>
      <w:r w:rsidR="00CE0F5E">
        <w:rPr>
          <w:rFonts w:ascii="Times New Roman" w:hAnsi="Times New Roman" w:cs="Times New Roman"/>
          <w:sz w:val="24"/>
        </w:rPr>
        <w:t>Licitações</w:t>
      </w:r>
      <w:r>
        <w:rPr>
          <w:rFonts w:ascii="Times New Roman" w:hAnsi="Times New Roman" w:cs="Times New Roman"/>
          <w:sz w:val="24"/>
        </w:rPr>
        <w:t xml:space="preserve"> e contratos administrativos. 10</w:t>
      </w:r>
      <w:r w:rsidR="00CE0F5E">
        <w:rPr>
          <w:rFonts w:ascii="Times New Roman" w:hAnsi="Times New Roman" w:cs="Times New Roman"/>
          <w:sz w:val="24"/>
        </w:rPr>
        <w:t>ª</w:t>
      </w:r>
      <w:r>
        <w:rPr>
          <w:rFonts w:ascii="Times New Roman" w:hAnsi="Times New Roman" w:cs="Times New Roman"/>
          <w:sz w:val="24"/>
        </w:rPr>
        <w:t xml:space="preserve"> ed., f</w:t>
      </w:r>
      <w:r w:rsidR="00CE0F5E">
        <w:rPr>
          <w:rFonts w:ascii="Times New Roman" w:hAnsi="Times New Roman" w:cs="Times New Roman"/>
          <w:sz w:val="24"/>
        </w:rPr>
        <w:t xml:space="preserve">az alusão ao art. 48, </w:t>
      </w:r>
      <w:r w:rsidR="00CE0F5E" w:rsidRPr="00CE0F5E">
        <w:rPr>
          <w:rFonts w:asciiTheme="majorHAnsi" w:hAnsiTheme="majorHAnsi" w:cstheme="majorHAnsi"/>
          <w:i/>
          <w:sz w:val="24"/>
          <w:szCs w:val="24"/>
        </w:rPr>
        <w:t>“</w:t>
      </w:r>
      <w:r w:rsidR="00CE0F5E" w:rsidRPr="00CE0F5E">
        <w:rPr>
          <w:rStyle w:val="Forte"/>
          <w:rFonts w:asciiTheme="majorHAnsi" w:hAnsiTheme="majorHAnsi" w:cstheme="majorHAnsi"/>
          <w:i/>
          <w:color w:val="222222"/>
          <w:sz w:val="24"/>
          <w:szCs w:val="24"/>
          <w:bdr w:val="none" w:sz="0" w:space="0" w:color="auto" w:frame="1"/>
          <w:shd w:val="clear" w:color="auto" w:fill="FAFAFA"/>
        </w:rPr>
        <w:t>§ 3º</w:t>
      </w:r>
      <w:r w:rsidR="00CE0F5E" w:rsidRPr="00CE0F5E">
        <w:rPr>
          <w:rFonts w:asciiTheme="majorHAnsi" w:hAnsiTheme="majorHAnsi" w:cstheme="majorHAnsi"/>
          <w:i/>
          <w:color w:val="222222"/>
          <w:sz w:val="24"/>
          <w:szCs w:val="24"/>
          <w:shd w:val="clear" w:color="auto" w:fill="FAFAFA"/>
        </w:rPr>
        <w:t xml:space="preserve">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(Incluído pela Lei nº 9.648, de </w:t>
      </w:r>
      <w:r w:rsidRPr="00CE0F5E">
        <w:rPr>
          <w:rFonts w:asciiTheme="majorHAnsi" w:hAnsiTheme="majorHAnsi" w:cstheme="majorHAnsi"/>
          <w:i/>
          <w:color w:val="222222"/>
          <w:sz w:val="24"/>
          <w:szCs w:val="24"/>
          <w:shd w:val="clear" w:color="auto" w:fill="FAFAFA"/>
        </w:rPr>
        <w:t>1998)</w:t>
      </w:r>
      <w:r w:rsidRPr="00CE0F5E">
        <w:rPr>
          <w:rFonts w:asciiTheme="majorHAnsi" w:hAnsiTheme="majorHAnsi" w:cstheme="majorHAnsi"/>
          <w:i/>
          <w:sz w:val="24"/>
          <w:szCs w:val="24"/>
        </w:rPr>
        <w:t xml:space="preserve"> ” equivocadamente</w:t>
      </w:r>
      <w:r w:rsidRPr="00BD32F8">
        <w:rPr>
          <w:rFonts w:ascii="Times New Roman" w:hAnsi="Times New Roman" w:cs="Times New Roman"/>
          <w:sz w:val="24"/>
        </w:rPr>
        <w:t xml:space="preserve">, pois </w:t>
      </w:r>
      <w:r w:rsidR="00CE0F5E" w:rsidRPr="00BD32F8">
        <w:rPr>
          <w:rFonts w:ascii="Times New Roman" w:hAnsi="Times New Roman" w:cs="Times New Roman"/>
          <w:sz w:val="24"/>
        </w:rPr>
        <w:t>não</w:t>
      </w:r>
      <w:r w:rsidRPr="00BD32F8">
        <w:rPr>
          <w:rFonts w:ascii="Times New Roman" w:hAnsi="Times New Roman" w:cs="Times New Roman"/>
          <w:sz w:val="24"/>
        </w:rPr>
        <w:t xml:space="preserve"> </w:t>
      </w:r>
      <w:r w:rsidR="00CE0F5E" w:rsidRPr="00BD32F8">
        <w:rPr>
          <w:rFonts w:ascii="Times New Roman" w:hAnsi="Times New Roman" w:cs="Times New Roman"/>
          <w:sz w:val="24"/>
        </w:rPr>
        <w:t>há</w:t>
      </w:r>
      <w:r w:rsidRPr="00BD32F8">
        <w:rPr>
          <w:rFonts w:ascii="Times New Roman" w:hAnsi="Times New Roman" w:cs="Times New Roman"/>
          <w:sz w:val="24"/>
        </w:rPr>
        <w:t xml:space="preserve"> relação entre o aludido artigo e o caso em tela</w:t>
      </w:r>
      <w:r>
        <w:rPr>
          <w:rFonts w:ascii="Times New Roman" w:hAnsi="Times New Roman" w:cs="Times New Roman"/>
          <w:i/>
          <w:sz w:val="24"/>
        </w:rPr>
        <w:t>.</w:t>
      </w:r>
    </w:p>
    <w:p w:rsidR="00250F4A" w:rsidRDefault="00250F4A"/>
    <w:p w:rsidR="00250F4A" w:rsidRPr="00BD32F8" w:rsidRDefault="005E48A7" w:rsidP="00BD32F8">
      <w:pPr>
        <w:jc w:val="both"/>
      </w:pPr>
      <w:r w:rsidRPr="00BD32F8">
        <w:rPr>
          <w:rFonts w:ascii="Times New Roman" w:hAnsi="Times New Roman" w:cs="Times New Roman"/>
          <w:sz w:val="24"/>
        </w:rPr>
        <w:t xml:space="preserve">Ainda quanto aos Fatos relatados, a recorrente argumenta o atendimento estrito ao Edital, notadamente </w:t>
      </w:r>
      <w:r w:rsidR="00BD32F8" w:rsidRPr="00BD32F8">
        <w:rPr>
          <w:rFonts w:ascii="Times New Roman" w:hAnsi="Times New Roman" w:cs="Times New Roman"/>
          <w:sz w:val="24"/>
        </w:rPr>
        <w:t>não</w:t>
      </w:r>
      <w:r w:rsidRPr="00BD32F8">
        <w:rPr>
          <w:rFonts w:ascii="Times New Roman" w:hAnsi="Times New Roman" w:cs="Times New Roman"/>
          <w:sz w:val="24"/>
        </w:rPr>
        <w:t xml:space="preserve"> </w:t>
      </w:r>
      <w:r w:rsidR="00BD32F8">
        <w:rPr>
          <w:rFonts w:ascii="Times New Roman" w:hAnsi="Times New Roman" w:cs="Times New Roman"/>
          <w:sz w:val="24"/>
        </w:rPr>
        <w:t>é</w:t>
      </w:r>
      <w:r w:rsidRPr="00BD32F8">
        <w:rPr>
          <w:rFonts w:ascii="Times New Roman" w:hAnsi="Times New Roman" w:cs="Times New Roman"/>
          <w:sz w:val="24"/>
        </w:rPr>
        <w:t xml:space="preserve"> o que fica evidenciado pelo observado </w:t>
      </w:r>
      <w:r w:rsidR="00BD32F8">
        <w:rPr>
          <w:rFonts w:ascii="Times New Roman" w:hAnsi="Times New Roman" w:cs="Times New Roman"/>
          <w:sz w:val="24"/>
        </w:rPr>
        <w:t>comparando</w:t>
      </w:r>
      <w:r w:rsidRPr="00BD32F8">
        <w:rPr>
          <w:rFonts w:ascii="Times New Roman" w:hAnsi="Times New Roman" w:cs="Times New Roman"/>
          <w:sz w:val="24"/>
        </w:rPr>
        <w:t xml:space="preserve"> as </w:t>
      </w:r>
      <w:r w:rsidR="00BD32F8" w:rsidRPr="00BD32F8">
        <w:rPr>
          <w:rFonts w:ascii="Times New Roman" w:hAnsi="Times New Roman" w:cs="Times New Roman"/>
          <w:sz w:val="24"/>
        </w:rPr>
        <w:t>cláusulas</w:t>
      </w:r>
      <w:r w:rsidRPr="00BD32F8">
        <w:rPr>
          <w:rFonts w:ascii="Times New Roman" w:hAnsi="Times New Roman" w:cs="Times New Roman"/>
          <w:sz w:val="24"/>
        </w:rPr>
        <w:t xml:space="preserve"> </w:t>
      </w:r>
      <w:r w:rsidR="00BD32F8" w:rsidRPr="00BD32F8">
        <w:rPr>
          <w:rFonts w:ascii="Times New Roman" w:hAnsi="Times New Roman" w:cs="Times New Roman"/>
          <w:sz w:val="24"/>
        </w:rPr>
        <w:t>edi</w:t>
      </w:r>
      <w:r w:rsidR="002F1A4A">
        <w:rPr>
          <w:rFonts w:ascii="Times New Roman" w:hAnsi="Times New Roman" w:cs="Times New Roman"/>
          <w:sz w:val="24"/>
        </w:rPr>
        <w:t>ta</w:t>
      </w:r>
      <w:r w:rsidR="00BD32F8" w:rsidRPr="00BD32F8">
        <w:rPr>
          <w:rFonts w:ascii="Times New Roman" w:hAnsi="Times New Roman" w:cs="Times New Roman"/>
          <w:sz w:val="24"/>
        </w:rPr>
        <w:t>lícias</w:t>
      </w:r>
      <w:r w:rsidR="002F1A4A">
        <w:rPr>
          <w:rFonts w:ascii="Times New Roman" w:hAnsi="Times New Roman" w:cs="Times New Roman"/>
          <w:sz w:val="24"/>
        </w:rPr>
        <w:t>,</w:t>
      </w:r>
      <w:r w:rsidRPr="00BD32F8">
        <w:rPr>
          <w:rFonts w:ascii="Times New Roman" w:hAnsi="Times New Roman" w:cs="Times New Roman"/>
          <w:sz w:val="24"/>
        </w:rPr>
        <w:t xml:space="preserve"> os grifos e comentários</w:t>
      </w:r>
      <w:r w:rsidR="00BD32F8">
        <w:rPr>
          <w:rFonts w:ascii="Times New Roman" w:hAnsi="Times New Roman" w:cs="Times New Roman"/>
          <w:sz w:val="24"/>
        </w:rPr>
        <w:t>, ferindo a vinculação do instrumento convocatório</w:t>
      </w:r>
      <w:r w:rsidR="002F1A4A">
        <w:rPr>
          <w:rFonts w:ascii="Times New Roman" w:hAnsi="Times New Roman" w:cs="Times New Roman"/>
          <w:sz w:val="24"/>
        </w:rPr>
        <w:t>,</w:t>
      </w:r>
      <w:r w:rsidR="00BD32F8">
        <w:rPr>
          <w:rFonts w:ascii="Times New Roman" w:hAnsi="Times New Roman" w:cs="Times New Roman"/>
          <w:sz w:val="24"/>
        </w:rPr>
        <w:t xml:space="preserve"> frente a observância de suas </w:t>
      </w:r>
      <w:r w:rsidR="002F1A4A">
        <w:rPr>
          <w:rFonts w:ascii="Times New Roman" w:hAnsi="Times New Roman" w:cs="Times New Roman"/>
          <w:sz w:val="24"/>
        </w:rPr>
        <w:t>exigências formais indispensáveis</w:t>
      </w:r>
      <w:r w:rsidR="00BD32F8">
        <w:rPr>
          <w:rFonts w:ascii="Times New Roman" w:hAnsi="Times New Roman" w:cs="Times New Roman"/>
          <w:sz w:val="24"/>
        </w:rPr>
        <w:t xml:space="preserve"> para o efetivo cumprimento do, não menos importante, princípio da isonomia entre os licitantes, apregoado no art. 37 da Carta Magna.</w:t>
      </w:r>
    </w:p>
    <w:p w:rsidR="00250F4A" w:rsidRDefault="00250F4A"/>
    <w:p w:rsidR="00250F4A" w:rsidRDefault="00250F4A"/>
    <w:p w:rsidR="00250F4A" w:rsidRDefault="005E48A7">
      <w:pPr>
        <w:ind w:left="851"/>
        <w:jc w:val="both"/>
      </w:pPr>
      <w:r>
        <w:rPr>
          <w:rFonts w:ascii="Times New Roman" w:hAnsi="Times New Roman" w:cs="Times New Roman"/>
          <w:sz w:val="24"/>
        </w:rPr>
        <w:t>É o Relatório.</w:t>
      </w:r>
    </w:p>
    <w:p w:rsidR="00250F4A" w:rsidRDefault="00250F4A">
      <w:pPr>
        <w:ind w:left="1416"/>
        <w:jc w:val="both"/>
      </w:pPr>
    </w:p>
    <w:p w:rsidR="00250F4A" w:rsidRDefault="005E48A7">
      <w:pPr>
        <w:jc w:val="both"/>
      </w:pPr>
      <w:r>
        <w:rPr>
          <w:rFonts w:ascii="Times New Roman" w:hAnsi="Times New Roman" w:cs="Times New Roman"/>
          <w:sz w:val="24"/>
        </w:rPr>
        <w:t xml:space="preserve">I - Ao cotejar o conteúdo do recurso interposto pela empresa com o conteúdo do Edital, primeiramente quanto à alegação da desnecessidade de apresentação dos índices acompanhados de memorial de cálculos, conforme item </w:t>
      </w:r>
      <w:r w:rsidRPr="00AE2007">
        <w:rPr>
          <w:rFonts w:ascii="Times New Roman" w:hAnsi="Times New Roman" w:cs="Times New Roman"/>
          <w:b/>
          <w:sz w:val="24"/>
        </w:rPr>
        <w:t>5.4.1.5</w:t>
      </w:r>
      <w:r>
        <w:rPr>
          <w:rFonts w:ascii="Times New Roman" w:hAnsi="Times New Roman" w:cs="Times New Roman"/>
          <w:sz w:val="24"/>
        </w:rPr>
        <w:t xml:space="preserve">, por constarem do “CRC” apresentado pela empresa, gizamos que: </w:t>
      </w:r>
    </w:p>
    <w:p w:rsidR="00250F4A" w:rsidRDefault="00250F4A">
      <w:pPr>
        <w:jc w:val="both"/>
      </w:pPr>
    </w:p>
    <w:p w:rsidR="00250F4A" w:rsidRDefault="005E48A7" w:rsidP="00AE2007">
      <w:pPr>
        <w:jc w:val="both"/>
      </w:pPr>
      <w:r>
        <w:rPr>
          <w:rFonts w:ascii="Times New Roman" w:hAnsi="Times New Roman" w:cs="Times New Roman"/>
          <w:sz w:val="24"/>
        </w:rPr>
        <w:t>O</w:t>
      </w:r>
      <w:r w:rsidR="00AE2007">
        <w:rPr>
          <w:rFonts w:ascii="Times New Roman" w:hAnsi="Times New Roman" w:cs="Times New Roman"/>
          <w:sz w:val="24"/>
        </w:rPr>
        <w:t>s</w:t>
      </w:r>
      <w:r>
        <w:rPr>
          <w:rFonts w:ascii="Times New Roman" w:hAnsi="Times New Roman" w:cs="Times New Roman"/>
          <w:sz w:val="24"/>
        </w:rPr>
        <w:t xml:space="preserve"> ite</w:t>
      </w:r>
      <w:r w:rsidR="00AE2007">
        <w:rPr>
          <w:rFonts w:ascii="Times New Roman" w:hAnsi="Times New Roman" w:cs="Times New Roman"/>
          <w:sz w:val="24"/>
        </w:rPr>
        <w:t>ns</w:t>
      </w:r>
      <w:r>
        <w:rPr>
          <w:rFonts w:ascii="Times New Roman" w:hAnsi="Times New Roman" w:cs="Times New Roman"/>
          <w:sz w:val="24"/>
        </w:rPr>
        <w:t xml:space="preserve"> 5.6.1.1, 5.6.1.1.1 e 5.6.1.2</w:t>
      </w:r>
      <w:r w:rsidR="002F1A4A">
        <w:rPr>
          <w:rFonts w:ascii="Times New Roman" w:hAnsi="Times New Roman" w:cs="Times New Roman"/>
          <w:sz w:val="24"/>
        </w:rPr>
        <w:t>,</w:t>
      </w:r>
      <w:r>
        <w:rPr>
          <w:rFonts w:ascii="Times New Roman" w:hAnsi="Times New Roman" w:cs="Times New Roman"/>
          <w:sz w:val="24"/>
        </w:rPr>
        <w:t xml:space="preserve"> que dispõe sobre os documentos a serem apresentados pelas empresas que possuam Certificado de Registro Cadastral não </w:t>
      </w:r>
      <w:r w:rsidR="002F1A4A">
        <w:rPr>
          <w:rFonts w:ascii="Times New Roman" w:hAnsi="Times New Roman" w:cs="Times New Roman"/>
          <w:sz w:val="24"/>
        </w:rPr>
        <w:t>são</w:t>
      </w:r>
      <w:r>
        <w:rPr>
          <w:rFonts w:ascii="Times New Roman" w:hAnsi="Times New Roman" w:cs="Times New Roman"/>
          <w:sz w:val="24"/>
        </w:rPr>
        <w:t xml:space="preserve"> passív</w:t>
      </w:r>
      <w:r w:rsidR="002F1A4A">
        <w:rPr>
          <w:rFonts w:ascii="Times New Roman" w:hAnsi="Times New Roman" w:cs="Times New Roman"/>
          <w:sz w:val="24"/>
        </w:rPr>
        <w:t>eis</w:t>
      </w:r>
      <w:r>
        <w:rPr>
          <w:rFonts w:ascii="Times New Roman" w:hAnsi="Times New Roman" w:cs="Times New Roman"/>
          <w:sz w:val="24"/>
        </w:rPr>
        <w:t xml:space="preserve"> de outro tipo de interpretação, que não a literal.</w:t>
      </w:r>
    </w:p>
    <w:p w:rsidR="00250F4A" w:rsidRDefault="00250F4A">
      <w:pPr>
        <w:spacing w:before="100" w:after="100"/>
        <w:ind w:left="1211"/>
        <w:jc w:val="both"/>
      </w:pPr>
    </w:p>
    <w:p w:rsidR="00250F4A" w:rsidRDefault="005E48A7">
      <w:pPr>
        <w:spacing w:before="100" w:after="100"/>
        <w:ind w:left="720"/>
        <w:jc w:val="both"/>
      </w:pPr>
      <w:r>
        <w:rPr>
          <w:rFonts w:ascii="Times New Roman" w:hAnsi="Times New Roman" w:cs="Times New Roman"/>
          <w:sz w:val="24"/>
        </w:rPr>
        <w:t xml:space="preserve">O título do item dispõe - </w:t>
      </w:r>
      <w:r>
        <w:rPr>
          <w:rFonts w:ascii="Times New Roman" w:hAnsi="Times New Roman" w:cs="Times New Roman"/>
          <w:b/>
          <w:i/>
          <w:sz w:val="24"/>
        </w:rPr>
        <w:t>5.6. PARA EMPRESAS QUE POSSUAM CERTIFICADO DE REGISTRO CADASTRAL</w:t>
      </w:r>
      <w:r>
        <w:rPr>
          <w:rFonts w:ascii="Times New Roman" w:hAnsi="Times New Roman" w:cs="Times New Roman"/>
          <w:b/>
          <w:sz w:val="24"/>
        </w:rPr>
        <w:t xml:space="preserve"> </w:t>
      </w:r>
      <w:r>
        <w:rPr>
          <w:rFonts w:ascii="Times New Roman" w:hAnsi="Times New Roman" w:cs="Times New Roman"/>
          <w:sz w:val="24"/>
        </w:rPr>
        <w:t>e, logo abaixo, define:</w:t>
      </w:r>
    </w:p>
    <w:p w:rsidR="00250F4A" w:rsidRDefault="005E48A7">
      <w:pPr>
        <w:ind w:left="708"/>
        <w:jc w:val="both"/>
      </w:pPr>
      <w:r w:rsidRPr="00AE2007">
        <w:rPr>
          <w:rFonts w:ascii="Times New Roman" w:hAnsi="Times New Roman" w:cs="Times New Roman"/>
          <w:b/>
          <w:i/>
          <w:sz w:val="24"/>
          <w:highlight w:val="yellow"/>
        </w:rPr>
        <w:t xml:space="preserve">"5.6.1.2 </w:t>
      </w:r>
      <w:r w:rsidRPr="00AE2007">
        <w:rPr>
          <w:rFonts w:ascii="Arial Unicode MS" w:hAnsi="Arial Unicode MS" w:cs="Arial Unicode MS"/>
          <w:sz w:val="18"/>
          <w:highlight w:val="yellow"/>
        </w:rPr>
        <w:t>Os certificados onde constem os indicadores da boa situação financeira da empresa, referidos no subitem 5.4.1.6, deverão ser acompanhados do memorial de cálculo, assinado por contabilista habilitado</w:t>
      </w:r>
      <w:r w:rsidRPr="00AE2007">
        <w:rPr>
          <w:rFonts w:ascii="Times New Roman" w:hAnsi="Times New Roman" w:cs="Times New Roman"/>
          <w:sz w:val="24"/>
          <w:highlight w:val="yellow"/>
        </w:rPr>
        <w:t>”</w:t>
      </w:r>
    </w:p>
    <w:p w:rsidR="00250F4A" w:rsidRDefault="00250F4A">
      <w:pPr>
        <w:jc w:val="both"/>
      </w:pPr>
    </w:p>
    <w:p w:rsidR="00250F4A" w:rsidRDefault="005E48A7">
      <w:pPr>
        <w:jc w:val="both"/>
      </w:pPr>
      <w:r>
        <w:rPr>
          <w:rFonts w:ascii="Times New Roman" w:hAnsi="Times New Roman" w:cs="Times New Roman"/>
          <w:sz w:val="24"/>
        </w:rPr>
        <w:t xml:space="preserve">Ora, já na definição podemos afirmar, sem qualquer sombra de dúvida quanto à interpretação do texto que, em a empresa apresentando CRC, este somente poderá </w:t>
      </w:r>
      <w:r>
        <w:rPr>
          <w:rFonts w:ascii="Times New Roman" w:hAnsi="Times New Roman" w:cs="Times New Roman"/>
          <w:sz w:val="24"/>
        </w:rPr>
        <w:lastRenderedPageBreak/>
        <w:t xml:space="preserve">substituir os documentos relativos à </w:t>
      </w:r>
      <w:r>
        <w:rPr>
          <w:rFonts w:ascii="Times New Roman" w:hAnsi="Times New Roman" w:cs="Times New Roman"/>
          <w:sz w:val="24"/>
          <w:u w:val="single"/>
        </w:rPr>
        <w:t>regularidade fiscal e trabalhista</w:t>
      </w:r>
      <w:r>
        <w:rPr>
          <w:rFonts w:ascii="Times New Roman" w:hAnsi="Times New Roman" w:cs="Times New Roman"/>
          <w:sz w:val="24"/>
        </w:rPr>
        <w:t>. Portanto, os documentos referentes à comprovação da situação financeira não estão incluídos no rol dos documentos substituíveis pelo CRC.</w:t>
      </w:r>
    </w:p>
    <w:p w:rsidR="00250F4A" w:rsidRDefault="00250F4A">
      <w:pPr>
        <w:jc w:val="both"/>
      </w:pPr>
    </w:p>
    <w:p w:rsidR="00250F4A" w:rsidRDefault="002F1A4A">
      <w:pPr>
        <w:jc w:val="both"/>
      </w:pPr>
      <w:r>
        <w:rPr>
          <w:rFonts w:ascii="Times New Roman" w:hAnsi="Times New Roman" w:cs="Times New Roman"/>
          <w:sz w:val="24"/>
        </w:rPr>
        <w:t>Com rela</w:t>
      </w:r>
      <w:r w:rsidR="005E48A7">
        <w:rPr>
          <w:rFonts w:ascii="Times New Roman" w:hAnsi="Times New Roman" w:cs="Times New Roman"/>
          <w:sz w:val="24"/>
        </w:rPr>
        <w:t>ção dos índices que, conforme dispõe o item 5.4.1.6, se referidos no Certificado deverão ser acompanhados do Memorial de Cálculo, assinado por contabilista habilitado, nada é dispensado. Em nenhum momento se dispensa a apresentação dos demais documentos necessários a comprovação da situação financeira, conforme o disposto no item 5.4 na sua totalidade.</w:t>
      </w:r>
    </w:p>
    <w:p w:rsidR="00250F4A" w:rsidRDefault="00250F4A">
      <w:pPr>
        <w:jc w:val="both"/>
      </w:pPr>
    </w:p>
    <w:p w:rsidR="00250F4A" w:rsidRDefault="005E48A7" w:rsidP="00AE2007">
      <w:pPr>
        <w:jc w:val="both"/>
      </w:pPr>
      <w:r>
        <w:rPr>
          <w:rFonts w:ascii="Times New Roman" w:hAnsi="Times New Roman" w:cs="Times New Roman"/>
          <w:sz w:val="24"/>
        </w:rPr>
        <w:t>II - Quanto ao alegado pela recorrente sobre o Certificado de Registro Cadastral – SICAF -, “apresentado”, ressaltamos que não é lícito limitar-se a aceitação de certificados de qualquer órgão. Todavia, dada a particularidade de cada um, determinados certificados são compostos de mais de um documento, o CRC em si e anexo – Declaração. Sendo este o caso do SICAF/SIASG.</w:t>
      </w:r>
    </w:p>
    <w:p w:rsidR="00250F4A" w:rsidRDefault="00250F4A">
      <w:pPr>
        <w:jc w:val="both"/>
      </w:pPr>
    </w:p>
    <w:p w:rsidR="00250F4A" w:rsidRDefault="005E48A7">
      <w:pPr>
        <w:jc w:val="both"/>
      </w:pPr>
      <w:r>
        <w:rPr>
          <w:rFonts w:ascii="Times New Roman" w:hAnsi="Times New Roman" w:cs="Times New Roman"/>
          <w:sz w:val="24"/>
          <w:u w:val="single"/>
        </w:rPr>
        <w:t>A Declaração</w:t>
      </w:r>
      <w:r>
        <w:rPr>
          <w:rFonts w:ascii="Times New Roman" w:hAnsi="Times New Roman" w:cs="Times New Roman"/>
          <w:sz w:val="24"/>
        </w:rPr>
        <w:t xml:space="preserve"> que vem junto ao CRC, no caso do SICAF, como informado ao pé da página do próprio documento, </w:t>
      </w:r>
      <w:r w:rsidRPr="00AE2007">
        <w:rPr>
          <w:rFonts w:ascii="Times New Roman" w:hAnsi="Times New Roman" w:cs="Times New Roman"/>
          <w:sz w:val="24"/>
          <w:highlight w:val="yellow"/>
        </w:rPr>
        <w:t>não tem valor legal</w:t>
      </w:r>
      <w:r w:rsidR="002F1A4A">
        <w:rPr>
          <w:rFonts w:ascii="Times New Roman" w:hAnsi="Times New Roman" w:cs="Times New Roman"/>
          <w:sz w:val="24"/>
          <w:highlight w:val="yellow"/>
        </w:rPr>
        <w:t>,</w:t>
      </w:r>
      <w:r w:rsidRPr="00AE2007">
        <w:rPr>
          <w:rFonts w:ascii="Times New Roman" w:hAnsi="Times New Roman" w:cs="Times New Roman"/>
          <w:sz w:val="24"/>
          <w:highlight w:val="yellow"/>
        </w:rPr>
        <w:t xml:space="preserve"> trata-se de “uma simples consulta, não tem efeito legal</w:t>
      </w:r>
      <w:r w:rsidR="002F1A4A">
        <w:rPr>
          <w:rFonts w:ascii="Times New Roman" w:hAnsi="Times New Roman" w:cs="Times New Roman"/>
          <w:sz w:val="24"/>
          <w:highlight w:val="yellow"/>
        </w:rPr>
        <w:t>”</w:t>
      </w:r>
      <w:r w:rsidRPr="00AE2007">
        <w:rPr>
          <w:rFonts w:ascii="Times New Roman" w:hAnsi="Times New Roman" w:cs="Times New Roman"/>
          <w:sz w:val="24"/>
          <w:highlight w:val="yellow"/>
        </w:rPr>
        <w:t xml:space="preserve"> e nã</w:t>
      </w:r>
      <w:r w:rsidR="00AE2007">
        <w:rPr>
          <w:rFonts w:ascii="Times New Roman" w:hAnsi="Times New Roman" w:cs="Times New Roman"/>
          <w:sz w:val="24"/>
          <w:highlight w:val="yellow"/>
        </w:rPr>
        <w:t>o pode ser considerada como CRC</w:t>
      </w:r>
      <w:r w:rsidRPr="00AE2007">
        <w:rPr>
          <w:rFonts w:ascii="Times New Roman" w:hAnsi="Times New Roman" w:cs="Times New Roman"/>
          <w:sz w:val="24"/>
          <w:highlight w:val="yellow"/>
        </w:rPr>
        <w:t>, sendo válida somente se acompanhada do</w:t>
      </w:r>
      <w:r w:rsidR="002F1A4A">
        <w:rPr>
          <w:rFonts w:ascii="Times New Roman" w:hAnsi="Times New Roman" w:cs="Times New Roman"/>
          <w:sz w:val="24"/>
          <w:highlight w:val="yellow"/>
        </w:rPr>
        <w:t xml:space="preserve"> respectivo</w:t>
      </w:r>
      <w:r w:rsidRPr="00AE2007">
        <w:rPr>
          <w:rFonts w:ascii="Times New Roman" w:hAnsi="Times New Roman" w:cs="Times New Roman"/>
          <w:sz w:val="24"/>
          <w:highlight w:val="yellow"/>
        </w:rPr>
        <w:t xml:space="preserve"> certificado.</w:t>
      </w:r>
      <w:r>
        <w:rPr>
          <w:rFonts w:ascii="Times New Roman" w:hAnsi="Times New Roman" w:cs="Times New Roman"/>
          <w:sz w:val="24"/>
        </w:rPr>
        <w:t xml:space="preserve"> </w:t>
      </w:r>
    </w:p>
    <w:p w:rsidR="00250F4A" w:rsidRDefault="00250F4A">
      <w:pPr>
        <w:jc w:val="both"/>
      </w:pPr>
    </w:p>
    <w:p w:rsidR="00250F4A" w:rsidRDefault="005E48A7">
      <w:pPr>
        <w:jc w:val="both"/>
      </w:pPr>
      <w:r>
        <w:rPr>
          <w:rFonts w:ascii="Times New Roman" w:hAnsi="Times New Roman" w:cs="Times New Roman"/>
          <w:sz w:val="24"/>
        </w:rPr>
        <w:t>Tal questionamento deman</w:t>
      </w:r>
      <w:r w:rsidR="0080544C">
        <w:rPr>
          <w:rFonts w:ascii="Times New Roman" w:hAnsi="Times New Roman" w:cs="Times New Roman"/>
          <w:sz w:val="24"/>
        </w:rPr>
        <w:t>dou diligência da</w:t>
      </w:r>
      <w:r>
        <w:rPr>
          <w:rFonts w:ascii="Times New Roman" w:hAnsi="Times New Roman" w:cs="Times New Roman"/>
          <w:sz w:val="24"/>
        </w:rPr>
        <w:t xml:space="preserve"> Comissão</w:t>
      </w:r>
      <w:r w:rsidR="00AE2007">
        <w:rPr>
          <w:rFonts w:ascii="Times New Roman" w:hAnsi="Times New Roman" w:cs="Times New Roman"/>
          <w:sz w:val="24"/>
        </w:rPr>
        <w:t xml:space="preserve"> Especial de Licitação, anterior, designada pela Portaria 411/16,</w:t>
      </w:r>
      <w:r>
        <w:rPr>
          <w:rFonts w:ascii="Times New Roman" w:hAnsi="Times New Roman" w:cs="Times New Roman"/>
          <w:sz w:val="24"/>
        </w:rPr>
        <w:t xml:space="preserve"> junto à Assessoria e Consultoria do SICAF, oportunidade em que nos foi informado exatamente o que estamos dispondo, ou seja, somente a declaração não faz prova, devendo a mesma vir acompanhada do documento de CRC. (fls. </w:t>
      </w:r>
      <w:r w:rsidR="002F1A4A">
        <w:rPr>
          <w:rFonts w:ascii="Times New Roman" w:hAnsi="Times New Roman" w:cs="Times New Roman"/>
          <w:sz w:val="24"/>
        </w:rPr>
        <w:t>371-374</w:t>
      </w:r>
      <w:r>
        <w:rPr>
          <w:rFonts w:ascii="Times New Roman" w:hAnsi="Times New Roman" w:cs="Times New Roman"/>
          <w:sz w:val="24"/>
        </w:rPr>
        <w:t xml:space="preserve"> Vol. II) consulta essa efetuada quando </w:t>
      </w:r>
      <w:r w:rsidR="002F1A4A">
        <w:rPr>
          <w:rFonts w:ascii="Times New Roman" w:hAnsi="Times New Roman" w:cs="Times New Roman"/>
          <w:sz w:val="24"/>
        </w:rPr>
        <w:t>realizado</w:t>
      </w:r>
      <w:r>
        <w:rPr>
          <w:rFonts w:ascii="Times New Roman" w:hAnsi="Times New Roman" w:cs="Times New Roman"/>
          <w:sz w:val="24"/>
        </w:rPr>
        <w:t xml:space="preserve"> julgamento análogo em outro </w:t>
      </w:r>
      <w:r w:rsidR="002F1A4A">
        <w:rPr>
          <w:rFonts w:ascii="Times New Roman" w:hAnsi="Times New Roman" w:cs="Times New Roman"/>
          <w:sz w:val="24"/>
        </w:rPr>
        <w:t xml:space="preserve">certame, onde outra licitante </w:t>
      </w:r>
      <w:r w:rsidR="0080544C">
        <w:rPr>
          <w:rFonts w:ascii="Times New Roman" w:hAnsi="Times New Roman" w:cs="Times New Roman"/>
          <w:sz w:val="24"/>
        </w:rPr>
        <w:t>incorreu no mesmo equí</w:t>
      </w:r>
      <w:r>
        <w:rPr>
          <w:rFonts w:ascii="Times New Roman" w:hAnsi="Times New Roman" w:cs="Times New Roman"/>
          <w:sz w:val="24"/>
        </w:rPr>
        <w:t>voco.</w:t>
      </w:r>
    </w:p>
    <w:p w:rsidR="00250F4A" w:rsidRDefault="00250F4A">
      <w:pPr>
        <w:jc w:val="both"/>
      </w:pPr>
    </w:p>
    <w:p w:rsidR="00250F4A" w:rsidRDefault="005E48A7">
      <w:pPr>
        <w:jc w:val="both"/>
      </w:pPr>
      <w:r>
        <w:rPr>
          <w:rFonts w:ascii="Times New Roman" w:hAnsi="Times New Roman" w:cs="Times New Roman"/>
          <w:sz w:val="24"/>
        </w:rPr>
        <w:t>O documento de CRC é admitido, mas compete ao interessado em participar do certame a responsabilidade de apresentá-lo em conformidade com o exigido no Edital, sendo defeso à Comissão a juntada de novo documento</w:t>
      </w:r>
      <w:r w:rsidR="0080544C">
        <w:rPr>
          <w:rFonts w:ascii="Times New Roman" w:hAnsi="Times New Roman" w:cs="Times New Roman"/>
          <w:sz w:val="24"/>
        </w:rPr>
        <w:t>, pois não se trata de conteúdo a ser certificado ou verificado, trata-se de incluir o que não foi apresentado na forma exigida no instrumento convocatório</w:t>
      </w:r>
      <w:r>
        <w:rPr>
          <w:rFonts w:ascii="Times New Roman" w:hAnsi="Times New Roman" w:cs="Times New Roman"/>
          <w:sz w:val="24"/>
        </w:rPr>
        <w:t>.</w:t>
      </w:r>
    </w:p>
    <w:p w:rsidR="00250F4A" w:rsidRDefault="00250F4A">
      <w:pPr>
        <w:jc w:val="both"/>
      </w:pPr>
    </w:p>
    <w:p w:rsidR="00250F4A" w:rsidRDefault="005E48A7">
      <w:r>
        <w:rPr>
          <w:rFonts w:ascii="Times" w:hAnsi="Times" w:cs="Times"/>
          <w:sz w:val="24"/>
        </w:rPr>
        <w:t>Respeitando o princípio da Isonomia, tanto quanto todos os preceitos constitucionais, notadamente, art.37, XXI, Di Pietro</w:t>
      </w:r>
      <w:r w:rsidR="0080544C">
        <w:rPr>
          <w:rFonts w:ascii="Times" w:hAnsi="Times" w:cs="Times"/>
          <w:sz w:val="24"/>
        </w:rPr>
        <w:t>. M.S.Z. Direito Administrativo. 29</w:t>
      </w:r>
      <w:r w:rsidR="0080544C">
        <w:rPr>
          <w:rFonts w:ascii="Times" w:hAnsi="Times" w:cs="Times"/>
          <w:sz w:val="24"/>
          <w:vertAlign w:val="superscript"/>
        </w:rPr>
        <w:t>a</w:t>
      </w:r>
      <w:r w:rsidR="0080544C">
        <w:rPr>
          <w:rFonts w:ascii="Times" w:hAnsi="Times" w:cs="Times"/>
          <w:sz w:val="24"/>
        </w:rPr>
        <w:t xml:space="preserve"> ed. 2016</w:t>
      </w:r>
      <w:r>
        <w:rPr>
          <w:rFonts w:ascii="Times" w:hAnsi="Times" w:cs="Times"/>
          <w:sz w:val="24"/>
        </w:rPr>
        <w:t xml:space="preserve"> nos diz, em análise </w:t>
      </w:r>
    </w:p>
    <w:p w:rsidR="00250F4A" w:rsidRDefault="00250F4A"/>
    <w:p w:rsidR="00250F4A" w:rsidRDefault="005E48A7">
      <w:pPr>
        <w:ind w:left="1418"/>
        <w:jc w:val="both"/>
      </w:pPr>
      <w:r>
        <w:rPr>
          <w:rFonts w:ascii="Times" w:hAnsi="Times" w:cs="Times"/>
          <w:i/>
          <w:sz w:val="24"/>
        </w:rPr>
        <w:lastRenderedPageBreak/>
        <w:t xml:space="preserve"> “O princípio da igualdade constitui um dos alicerces da licitação, na medida em que esta visa, não apenas permitir à Administração a escolha da melhor proposta, como também assegurar igualdade de direitos a todos os interessados em contratar. Esse princípio, que hoje </w:t>
      </w:r>
      <w:r w:rsidR="0080544C">
        <w:rPr>
          <w:rFonts w:ascii="Times" w:hAnsi="Times" w:cs="Times"/>
          <w:i/>
          <w:sz w:val="24"/>
        </w:rPr>
        <w:t xml:space="preserve">está́ expresso no artigo </w:t>
      </w:r>
      <w:r>
        <w:rPr>
          <w:rFonts w:ascii="Times" w:hAnsi="Times" w:cs="Times"/>
          <w:i/>
          <w:sz w:val="24"/>
        </w:rPr>
        <w:t>37, da Constituição, veda o estabelecimento de condições que impliquem preferência em favor de determinados licit</w:t>
      </w:r>
      <w:r w:rsidR="0080544C">
        <w:rPr>
          <w:rFonts w:ascii="Times" w:hAnsi="Times" w:cs="Times"/>
          <w:i/>
          <w:sz w:val="24"/>
        </w:rPr>
        <w:t xml:space="preserve">antes em detrimento dos </w:t>
      </w:r>
      <w:r>
        <w:rPr>
          <w:rFonts w:ascii="Times" w:hAnsi="Times" w:cs="Times"/>
          <w:i/>
          <w:sz w:val="24"/>
        </w:rPr>
        <w:t>demais.“</w:t>
      </w:r>
    </w:p>
    <w:p w:rsidR="00250F4A" w:rsidRDefault="00250F4A">
      <w:pPr>
        <w:ind w:left="1418"/>
        <w:jc w:val="both"/>
      </w:pPr>
    </w:p>
    <w:p w:rsidR="00250F4A" w:rsidRDefault="005E48A7">
      <w:pPr>
        <w:jc w:val="both"/>
      </w:pPr>
      <w:r>
        <w:rPr>
          <w:rFonts w:ascii="Times" w:hAnsi="Times" w:cs="Times"/>
          <w:sz w:val="24"/>
        </w:rPr>
        <w:t xml:space="preserve">A Constituição Federal prevê, no seu art. 37, XXI, a contratação de obras, serviços, compras e alienações mediante a observação do princípio da isonomia, assegurando a todos os concorrentes </w:t>
      </w:r>
      <w:r w:rsidRPr="0080544C">
        <w:rPr>
          <w:rFonts w:ascii="Times" w:hAnsi="Times" w:cs="Times"/>
          <w:b/>
          <w:sz w:val="24"/>
        </w:rPr>
        <w:t>a igualdade de condições</w:t>
      </w:r>
      <w:r>
        <w:rPr>
          <w:rFonts w:ascii="Times" w:hAnsi="Times" w:cs="Times"/>
          <w:sz w:val="24"/>
        </w:rPr>
        <w:t>. A obrigatoriedade da aplicação do princípio é reiterada no art. 3º da lei 8.666/93.</w:t>
      </w:r>
    </w:p>
    <w:p w:rsidR="0080544C" w:rsidRDefault="005E48A7">
      <w:pPr>
        <w:jc w:val="both"/>
        <w:rPr>
          <w:rFonts w:ascii="Times" w:hAnsi="Times" w:cs="Times"/>
          <w:sz w:val="24"/>
        </w:rPr>
      </w:pPr>
      <w:r>
        <w:rPr>
          <w:rFonts w:ascii="Times" w:hAnsi="Times" w:cs="Times"/>
          <w:sz w:val="24"/>
        </w:rPr>
        <w:t>O princípio da isonomia pode ser considerado como um instrumento regulador das normas, para que todos os destinatários de determinada lei recebam tratamento igualitário.</w:t>
      </w:r>
    </w:p>
    <w:p w:rsidR="00250F4A" w:rsidRDefault="005E48A7">
      <w:pPr>
        <w:jc w:val="both"/>
      </w:pPr>
      <w:r>
        <w:rPr>
          <w:rFonts w:ascii="Times" w:hAnsi="Times" w:cs="Times"/>
          <w:sz w:val="24"/>
        </w:rPr>
        <w:t>Todos os dispositivos da lei de licitações ou regulamentação de um específico processo licitatório devem ser interpretados à luz do princípio da isonomia</w:t>
      </w:r>
      <w:r w:rsidR="002F1A4A">
        <w:rPr>
          <w:rFonts w:ascii="Times" w:hAnsi="Times" w:cs="Times"/>
          <w:sz w:val="24"/>
        </w:rPr>
        <w:t xml:space="preserve">, o qual </w:t>
      </w:r>
      <w:r>
        <w:rPr>
          <w:rFonts w:ascii="Times" w:hAnsi="Times" w:cs="Times"/>
          <w:sz w:val="24"/>
        </w:rPr>
        <w:t>objetiva a proibição completa de qualquer di</w:t>
      </w:r>
      <w:r w:rsidR="002F1A4A">
        <w:rPr>
          <w:rFonts w:ascii="Times" w:hAnsi="Times" w:cs="Times"/>
          <w:sz w:val="24"/>
        </w:rPr>
        <w:t>ferenciação entre os candidatos. I</w:t>
      </w:r>
      <w:r w:rsidR="0080544C">
        <w:rPr>
          <w:rFonts w:ascii="Times" w:hAnsi="Times" w:cs="Times"/>
          <w:sz w:val="24"/>
        </w:rPr>
        <w:t>sso quer dizer que acolher o recurso impetrado significa</w:t>
      </w:r>
      <w:r w:rsidR="002F1A4A">
        <w:rPr>
          <w:rFonts w:ascii="Times" w:hAnsi="Times" w:cs="Times"/>
          <w:sz w:val="24"/>
        </w:rPr>
        <w:t>,</w:t>
      </w:r>
      <w:r w:rsidR="0080544C">
        <w:rPr>
          <w:rFonts w:ascii="Times" w:hAnsi="Times" w:cs="Times"/>
          <w:sz w:val="24"/>
        </w:rPr>
        <w:t xml:space="preserve"> sobremaneira</w:t>
      </w:r>
      <w:r w:rsidR="002F1A4A">
        <w:rPr>
          <w:rFonts w:ascii="Times" w:hAnsi="Times" w:cs="Times"/>
          <w:sz w:val="24"/>
        </w:rPr>
        <w:t>,</w:t>
      </w:r>
      <w:r w:rsidR="0080544C">
        <w:rPr>
          <w:rFonts w:ascii="Times" w:hAnsi="Times" w:cs="Times"/>
          <w:sz w:val="24"/>
        </w:rPr>
        <w:t xml:space="preserve"> privilegiar a empresa que não apresentou documento ou informação conforme exigido no instrumento convocatório, em relação a todas as outras que o fizeram.</w:t>
      </w:r>
    </w:p>
    <w:p w:rsidR="00250F4A" w:rsidRDefault="00250F4A">
      <w:pPr>
        <w:jc w:val="both"/>
      </w:pPr>
    </w:p>
    <w:p w:rsidR="00250F4A" w:rsidRDefault="005E48A7">
      <w:pPr>
        <w:spacing w:before="100" w:after="100"/>
        <w:jc w:val="both"/>
      </w:pPr>
      <w:r>
        <w:rPr>
          <w:rFonts w:ascii="Times" w:hAnsi="Times" w:cs="Times"/>
          <w:sz w:val="24"/>
        </w:rPr>
        <w:t xml:space="preserve">Por </w:t>
      </w:r>
      <w:r w:rsidR="002F1A4A">
        <w:rPr>
          <w:rFonts w:ascii="Times" w:hAnsi="Times" w:cs="Times"/>
          <w:sz w:val="24"/>
        </w:rPr>
        <w:t>fim, encontra</w:t>
      </w:r>
      <w:r>
        <w:rPr>
          <w:rFonts w:ascii="Times" w:hAnsi="Times" w:cs="Times"/>
          <w:sz w:val="24"/>
        </w:rPr>
        <w:t xml:space="preserve">-se amparada pelas orientações </w:t>
      </w:r>
      <w:r w:rsidR="00194CEB">
        <w:rPr>
          <w:rFonts w:ascii="Times" w:hAnsi="Times" w:cs="Times"/>
          <w:sz w:val="24"/>
        </w:rPr>
        <w:t>da doutrina e da jurisprudência</w:t>
      </w:r>
      <w:r w:rsidR="002F1A4A">
        <w:rPr>
          <w:rFonts w:ascii="Times" w:hAnsi="Times" w:cs="Times"/>
          <w:sz w:val="24"/>
        </w:rPr>
        <w:t>,</w:t>
      </w:r>
      <w:r w:rsidR="00194CEB">
        <w:rPr>
          <w:rFonts w:ascii="Times" w:hAnsi="Times" w:cs="Times"/>
          <w:sz w:val="24"/>
        </w:rPr>
        <w:t xml:space="preserve"> </w:t>
      </w:r>
      <w:r w:rsidR="002F1A4A">
        <w:rPr>
          <w:rFonts w:ascii="Times" w:hAnsi="Times" w:cs="Times"/>
          <w:sz w:val="24"/>
        </w:rPr>
        <w:t>e para</w:t>
      </w:r>
      <w:r>
        <w:rPr>
          <w:rFonts w:ascii="Times" w:hAnsi="Times" w:cs="Times"/>
          <w:sz w:val="24"/>
        </w:rPr>
        <w:t xml:space="preserve"> assegurar o interesse público, do qual a Administração não pode se desviar</w:t>
      </w:r>
      <w:r w:rsidR="00194CEB">
        <w:rPr>
          <w:rFonts w:ascii="Times" w:hAnsi="Times" w:cs="Times"/>
          <w:sz w:val="24"/>
        </w:rPr>
        <w:t>, o não acol</w:t>
      </w:r>
      <w:r w:rsidR="002F1A4A">
        <w:rPr>
          <w:rFonts w:ascii="Times" w:hAnsi="Times" w:cs="Times"/>
          <w:sz w:val="24"/>
        </w:rPr>
        <w:t>h</w:t>
      </w:r>
      <w:r w:rsidR="00194CEB">
        <w:rPr>
          <w:rFonts w:ascii="Times" w:hAnsi="Times" w:cs="Times"/>
          <w:sz w:val="24"/>
        </w:rPr>
        <w:t>imento do presente recurso</w:t>
      </w:r>
      <w:r>
        <w:rPr>
          <w:rFonts w:ascii="Times" w:hAnsi="Times" w:cs="Times"/>
          <w:sz w:val="24"/>
        </w:rPr>
        <w:t>.</w:t>
      </w:r>
    </w:p>
    <w:p w:rsidR="00250F4A" w:rsidRDefault="00250F4A">
      <w:pPr>
        <w:jc w:val="both"/>
      </w:pPr>
    </w:p>
    <w:p w:rsidR="00250F4A" w:rsidRDefault="005E48A7">
      <w:pPr>
        <w:jc w:val="both"/>
      </w:pPr>
      <w:r>
        <w:rPr>
          <w:rFonts w:ascii="Times New Roman" w:hAnsi="Times New Roman" w:cs="Times New Roman"/>
          <w:sz w:val="24"/>
        </w:rPr>
        <w:t xml:space="preserve">Isso posto, a Comissão Especial de Licitações/CMPA decide </w:t>
      </w:r>
      <w:r>
        <w:rPr>
          <w:rFonts w:ascii="Times New Roman" w:hAnsi="Times New Roman" w:cs="Times New Roman"/>
          <w:b/>
          <w:sz w:val="24"/>
        </w:rPr>
        <w:t>negar provimento</w:t>
      </w:r>
      <w:r>
        <w:rPr>
          <w:rFonts w:ascii="Times New Roman" w:hAnsi="Times New Roman" w:cs="Times New Roman"/>
          <w:sz w:val="24"/>
        </w:rPr>
        <w:t xml:space="preserve"> ao recurso interposto, ficando mantido o julgamento da fase de habilitação, publicado no DOPA do último dia 22 de dezembro.</w:t>
      </w:r>
    </w:p>
    <w:p w:rsidR="00250F4A" w:rsidRDefault="005E48A7">
      <w:pPr>
        <w:spacing w:before="60"/>
        <w:jc w:val="both"/>
      </w:pPr>
      <w:r>
        <w:rPr>
          <w:rFonts w:ascii="Times New Roman" w:hAnsi="Times New Roman" w:cs="Times New Roman"/>
          <w:sz w:val="24"/>
        </w:rPr>
        <w:t>É a decisão.</w:t>
      </w:r>
    </w:p>
    <w:p w:rsidR="00250F4A" w:rsidRDefault="00250F4A">
      <w:pPr>
        <w:spacing w:before="60"/>
        <w:jc w:val="both"/>
      </w:pPr>
    </w:p>
    <w:p w:rsidR="00250F4A" w:rsidRDefault="005E48A7">
      <w:pPr>
        <w:ind w:left="2126"/>
      </w:pPr>
      <w:r>
        <w:rPr>
          <w:rFonts w:ascii="Times New Roman" w:hAnsi="Times New Roman" w:cs="Times New Roman"/>
          <w:sz w:val="24"/>
        </w:rPr>
        <w:t>Sala de Licitações, 27 de dezembro de 2016.</w:t>
      </w:r>
    </w:p>
    <w:p w:rsidR="00250F4A" w:rsidRDefault="00250F4A">
      <w:pPr>
        <w:spacing w:before="80"/>
        <w:ind w:left="2124"/>
      </w:pPr>
    </w:p>
    <w:p w:rsidR="00250F4A" w:rsidRDefault="00250F4A">
      <w:pPr>
        <w:jc w:val="center"/>
      </w:pPr>
    </w:p>
    <w:p w:rsidR="00250F4A" w:rsidRDefault="00250F4A">
      <w:pPr>
        <w:jc w:val="center"/>
      </w:pPr>
    </w:p>
    <w:p w:rsidR="00250F4A" w:rsidRDefault="005E48A7">
      <w:pPr>
        <w:jc w:val="center"/>
      </w:pPr>
      <w:r>
        <w:rPr>
          <w:rFonts w:ascii="Times New Roman" w:hAnsi="Times New Roman" w:cs="Times New Roman"/>
          <w:sz w:val="24"/>
        </w:rPr>
        <w:t>Simone Vicari Tarasconi</w:t>
      </w:r>
    </w:p>
    <w:p w:rsidR="00250F4A" w:rsidRDefault="005E48A7">
      <w:pPr>
        <w:jc w:val="center"/>
      </w:pPr>
      <w:r>
        <w:rPr>
          <w:rFonts w:ascii="Times New Roman" w:hAnsi="Times New Roman" w:cs="Times New Roman"/>
          <w:sz w:val="24"/>
        </w:rPr>
        <w:t>Presidente da CEL/CMPA</w:t>
      </w:r>
    </w:p>
    <w:p w:rsidR="00250F4A" w:rsidRDefault="00250F4A">
      <w:pPr>
        <w:jc w:val="center"/>
      </w:pPr>
    </w:p>
    <w:p w:rsidR="00250F4A" w:rsidRDefault="00250F4A"/>
    <w:sectPr w:rsidR="00250F4A">
      <w:pgSz w:w="12240" w:h="15840"/>
      <w:pgMar w:top="1334" w:right="1467" w:bottom="70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4A"/>
    <w:rsid w:val="00194CEB"/>
    <w:rsid w:val="00250F4A"/>
    <w:rsid w:val="002F1A4A"/>
    <w:rsid w:val="005E48A7"/>
    <w:rsid w:val="0080544C"/>
    <w:rsid w:val="009817F2"/>
    <w:rsid w:val="00AE2007"/>
    <w:rsid w:val="00BD32F8"/>
    <w:rsid w:val="00CE0F5E"/>
    <w:rsid w:val="00DE4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72C30-C9D9-4AA4-8407-537B777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E0F5E"/>
    <w:rPr>
      <w:b/>
      <w:bCs/>
    </w:rPr>
  </w:style>
  <w:style w:type="paragraph" w:styleId="Textodebalo">
    <w:name w:val="Balloon Text"/>
    <w:basedOn w:val="Normal"/>
    <w:link w:val="TextodebaloChar"/>
    <w:uiPriority w:val="99"/>
    <w:semiHidden/>
    <w:unhideWhenUsed/>
    <w:rsid w:val="00DE40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4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3394-E3E8-418E-902A-258D6BC47E21}">
  <ds:schemaRefs>
    <ds:schemaRef ds:uri="http://schemas.apple.com/cocoa/2006/metadata"/>
  </ds:schemaRefs>
</ds:datastoreItem>
</file>

<file path=customXml/itemProps2.xml><?xml version="1.0" encoding="utf-8"?>
<ds:datastoreItem xmlns:ds="http://schemas.openxmlformats.org/officeDocument/2006/customXml" ds:itemID="{ED1BAAA5-78BE-4292-8DC0-ACDD43B5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Rita Vardanega Simon</dc:creator>
  <cp:lastModifiedBy>Simone Vicari Tarasconi</cp:lastModifiedBy>
  <cp:revision>2</cp:revision>
  <cp:lastPrinted>2017-12-27T13:45:00Z</cp:lastPrinted>
  <dcterms:created xsi:type="dcterms:W3CDTF">2017-12-27T14:12:00Z</dcterms:created>
  <dcterms:modified xsi:type="dcterms:W3CDTF">2017-12-27T14:12:00Z</dcterms:modified>
</cp:coreProperties>
</file>