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B7" w:rsidRDefault="001958B7" w:rsidP="0004086F">
      <w:pPr>
        <w:spacing w:before="100" w:beforeAutospacing="1" w:after="100" w:afterAutospacing="1" w:line="276" w:lineRule="auto"/>
        <w:ind w:firstLine="450"/>
        <w:jc w:val="right"/>
        <w:rPr>
          <w:rFonts w:ascii="Arial" w:hAnsi="Arial" w:cs="Arial"/>
          <w:color w:val="000000"/>
          <w:lang w:eastAsia="pt-BR"/>
        </w:rPr>
      </w:pPr>
      <w:r w:rsidRPr="001958B7">
        <w:rPr>
          <w:rFonts w:ascii="Arial" w:hAnsi="Arial" w:cs="Arial"/>
          <w:color w:val="000000"/>
          <w:lang w:eastAsia="pt-BR"/>
        </w:rPr>
        <w:t xml:space="preserve">Porto Alegre, </w:t>
      </w:r>
      <w:r>
        <w:rPr>
          <w:rFonts w:ascii="Arial" w:hAnsi="Arial" w:cs="Arial"/>
          <w:color w:val="000000"/>
          <w:lang w:eastAsia="pt-BR"/>
        </w:rPr>
        <w:t>23</w:t>
      </w:r>
      <w:r w:rsidRPr="001958B7">
        <w:rPr>
          <w:rFonts w:ascii="Arial" w:hAnsi="Arial" w:cs="Arial"/>
          <w:color w:val="000000"/>
          <w:lang w:eastAsia="pt-BR"/>
        </w:rPr>
        <w:t xml:space="preserve"> de </w:t>
      </w:r>
      <w:r>
        <w:rPr>
          <w:rFonts w:ascii="Arial" w:hAnsi="Arial" w:cs="Arial"/>
          <w:color w:val="000000"/>
          <w:lang w:eastAsia="pt-BR"/>
        </w:rPr>
        <w:t>março</w:t>
      </w:r>
      <w:r w:rsidRPr="001958B7">
        <w:rPr>
          <w:rFonts w:ascii="Arial" w:hAnsi="Arial" w:cs="Arial"/>
          <w:color w:val="000000"/>
          <w:lang w:eastAsia="pt-BR"/>
        </w:rPr>
        <w:t xml:space="preserve"> de 201</w:t>
      </w:r>
      <w:r>
        <w:rPr>
          <w:rFonts w:ascii="Arial" w:hAnsi="Arial" w:cs="Arial"/>
          <w:color w:val="000000"/>
          <w:lang w:eastAsia="pt-BR"/>
        </w:rPr>
        <w:t>7</w:t>
      </w:r>
      <w:r w:rsidRPr="001958B7">
        <w:rPr>
          <w:rFonts w:ascii="Arial" w:hAnsi="Arial" w:cs="Arial"/>
          <w:color w:val="000000"/>
          <w:lang w:eastAsia="pt-BR"/>
        </w:rPr>
        <w:t>.</w:t>
      </w:r>
    </w:p>
    <w:p w:rsidR="00334627" w:rsidRDefault="00334627" w:rsidP="0004086F">
      <w:pPr>
        <w:spacing w:before="100" w:beforeAutospacing="1" w:after="100" w:afterAutospacing="1" w:line="276" w:lineRule="auto"/>
        <w:ind w:firstLine="450"/>
        <w:jc w:val="right"/>
        <w:rPr>
          <w:rFonts w:ascii="Arial" w:hAnsi="Arial" w:cs="Arial"/>
          <w:color w:val="000000"/>
          <w:lang w:eastAsia="pt-BR"/>
        </w:rPr>
      </w:pPr>
    </w:p>
    <w:p w:rsidR="00334627" w:rsidRPr="001958B7" w:rsidRDefault="00334627" w:rsidP="0004086F">
      <w:pPr>
        <w:spacing w:before="100" w:beforeAutospacing="1" w:after="100" w:afterAutospacing="1" w:line="276" w:lineRule="auto"/>
        <w:ind w:firstLine="450"/>
        <w:jc w:val="right"/>
        <w:rPr>
          <w:rFonts w:ascii="Arial" w:hAnsi="Arial" w:cs="Arial"/>
          <w:color w:val="000000"/>
          <w:lang w:eastAsia="pt-BR"/>
        </w:rPr>
      </w:pPr>
    </w:p>
    <w:p w:rsidR="001958B7" w:rsidRPr="001958B7" w:rsidRDefault="001958B7" w:rsidP="0004086F">
      <w:pPr>
        <w:spacing w:after="0" w:line="276" w:lineRule="auto"/>
        <w:ind w:firstLine="448"/>
        <w:jc w:val="center"/>
        <w:rPr>
          <w:rFonts w:ascii="Arial" w:hAnsi="Arial" w:cs="Arial"/>
          <w:b/>
          <w:color w:val="000000"/>
          <w:lang w:eastAsia="pt-BR"/>
        </w:rPr>
      </w:pPr>
      <w:r w:rsidRPr="001958B7">
        <w:rPr>
          <w:rFonts w:ascii="Arial" w:hAnsi="Arial" w:cs="Arial"/>
          <w:b/>
          <w:color w:val="000000"/>
          <w:lang w:eastAsia="pt-BR"/>
        </w:rPr>
        <w:t xml:space="preserve">RELATÓRIO À IMPUGNAÇÃO DE EDITAL </w:t>
      </w:r>
    </w:p>
    <w:p w:rsidR="001958B7" w:rsidRDefault="001958B7" w:rsidP="0004086F">
      <w:pPr>
        <w:spacing w:after="0" w:line="276" w:lineRule="auto"/>
        <w:ind w:firstLine="448"/>
        <w:jc w:val="center"/>
        <w:rPr>
          <w:rFonts w:ascii="Arial" w:hAnsi="Arial" w:cs="Arial"/>
          <w:b/>
          <w:color w:val="000000"/>
          <w:lang w:eastAsia="pt-BR"/>
        </w:rPr>
      </w:pPr>
      <w:r>
        <w:rPr>
          <w:rFonts w:ascii="Arial" w:hAnsi="Arial" w:cs="Arial"/>
          <w:b/>
          <w:color w:val="000000"/>
          <w:lang w:eastAsia="pt-BR"/>
        </w:rPr>
        <w:t>TOMADA DE PREÇOS</w:t>
      </w:r>
      <w:r w:rsidRPr="001958B7">
        <w:rPr>
          <w:rFonts w:ascii="Arial" w:hAnsi="Arial" w:cs="Arial"/>
          <w:b/>
          <w:color w:val="000000"/>
          <w:lang w:eastAsia="pt-BR"/>
        </w:rPr>
        <w:t xml:space="preserve"> Nº 01/201</w:t>
      </w:r>
      <w:r>
        <w:rPr>
          <w:rFonts w:ascii="Arial" w:hAnsi="Arial" w:cs="Arial"/>
          <w:b/>
          <w:color w:val="000000"/>
          <w:lang w:eastAsia="pt-BR"/>
        </w:rPr>
        <w:t>7</w:t>
      </w:r>
      <w:r w:rsidRPr="001958B7">
        <w:rPr>
          <w:rFonts w:ascii="Arial" w:hAnsi="Arial" w:cs="Arial"/>
          <w:b/>
          <w:color w:val="000000"/>
          <w:lang w:eastAsia="pt-BR"/>
        </w:rPr>
        <w:t xml:space="preserve"> </w:t>
      </w:r>
    </w:p>
    <w:p w:rsidR="00334627" w:rsidRPr="001958B7" w:rsidRDefault="00334627" w:rsidP="0004086F">
      <w:pPr>
        <w:spacing w:after="0" w:line="276" w:lineRule="auto"/>
        <w:ind w:firstLine="448"/>
        <w:jc w:val="center"/>
        <w:rPr>
          <w:rFonts w:ascii="Arial" w:hAnsi="Arial" w:cs="Arial"/>
          <w:b/>
          <w:color w:val="000000"/>
          <w:lang w:eastAsia="pt-BR"/>
        </w:rPr>
      </w:pPr>
    </w:p>
    <w:p w:rsidR="001958B7" w:rsidRPr="001958B7" w:rsidRDefault="001958B7" w:rsidP="0004086F">
      <w:pPr>
        <w:spacing w:before="100" w:beforeAutospacing="1" w:after="100" w:afterAutospacing="1" w:line="276" w:lineRule="auto"/>
        <w:ind w:firstLine="450"/>
        <w:jc w:val="both"/>
        <w:rPr>
          <w:rFonts w:ascii="Arial" w:hAnsi="Arial" w:cs="Arial"/>
          <w:color w:val="000000"/>
          <w:lang w:eastAsia="pt-BR"/>
        </w:rPr>
      </w:pPr>
      <w:r w:rsidRPr="001958B7">
        <w:rPr>
          <w:rFonts w:ascii="Arial" w:hAnsi="Arial" w:cs="Arial"/>
          <w:color w:val="000000"/>
          <w:lang w:eastAsia="pt-BR"/>
        </w:rPr>
        <w:t xml:space="preserve">Senhor Licitante, após a oitiva da área técnica quanto ao </w:t>
      </w:r>
      <w:r>
        <w:rPr>
          <w:rFonts w:ascii="Arial" w:hAnsi="Arial" w:cs="Arial"/>
          <w:color w:val="000000"/>
          <w:lang w:eastAsia="pt-BR"/>
        </w:rPr>
        <w:t>fundamento da impugnação</w:t>
      </w:r>
      <w:r w:rsidRPr="001958B7">
        <w:rPr>
          <w:rFonts w:ascii="Arial" w:hAnsi="Arial" w:cs="Arial"/>
          <w:color w:val="000000"/>
          <w:lang w:eastAsia="pt-BR"/>
        </w:rPr>
        <w:t xml:space="preserve"> ao Edital de </w:t>
      </w:r>
      <w:r>
        <w:rPr>
          <w:rFonts w:ascii="Arial" w:hAnsi="Arial" w:cs="Arial"/>
          <w:color w:val="000000"/>
          <w:lang w:eastAsia="pt-BR"/>
        </w:rPr>
        <w:t>Tomada de Preços</w:t>
      </w:r>
      <w:r w:rsidRPr="001958B7">
        <w:rPr>
          <w:rFonts w:ascii="Arial" w:hAnsi="Arial" w:cs="Arial"/>
          <w:color w:val="000000"/>
          <w:lang w:eastAsia="pt-BR"/>
        </w:rPr>
        <w:t xml:space="preserve"> nº 01/201</w:t>
      </w:r>
      <w:r>
        <w:rPr>
          <w:rFonts w:ascii="Arial" w:hAnsi="Arial" w:cs="Arial"/>
          <w:color w:val="000000"/>
          <w:lang w:eastAsia="pt-BR"/>
        </w:rPr>
        <w:t>7</w:t>
      </w:r>
      <w:r w:rsidRPr="001958B7">
        <w:rPr>
          <w:rFonts w:ascii="Arial" w:hAnsi="Arial" w:cs="Arial"/>
          <w:color w:val="000000"/>
          <w:lang w:eastAsia="pt-BR"/>
        </w:rPr>
        <w:t xml:space="preserve">, cujo objeto </w:t>
      </w:r>
      <w:r>
        <w:rPr>
          <w:rFonts w:ascii="Arial" w:hAnsi="Arial" w:cs="Arial"/>
          <w:color w:val="000000"/>
          <w:lang w:eastAsia="pt-BR"/>
        </w:rPr>
        <w:t xml:space="preserve">é a </w:t>
      </w:r>
      <w:r w:rsidRPr="001958B7">
        <w:rPr>
          <w:rFonts w:ascii="Arial" w:hAnsi="Arial" w:cs="Arial"/>
          <w:color w:val="000000"/>
          <w:lang w:eastAsia="pt-BR"/>
        </w:rPr>
        <w:t>contratação de empresa especializada para prestação de serviços de engenharia ou arquitetura para elaboração de projeto executivo de impermeabilização e recuperação dos elementos do terraço do edifício sede da Câmara Municipal de Porto Alegre, passamos a expor:</w:t>
      </w:r>
    </w:p>
    <w:p w:rsidR="00334627" w:rsidRDefault="00334627" w:rsidP="0004086F">
      <w:pPr>
        <w:autoSpaceDE w:val="0"/>
        <w:autoSpaceDN w:val="0"/>
        <w:adjustRightInd w:val="0"/>
        <w:spacing w:after="0" w:line="276" w:lineRule="auto"/>
        <w:ind w:firstLine="708"/>
        <w:jc w:val="both"/>
        <w:rPr>
          <w:rFonts w:ascii="Arial" w:hAnsi="Arial" w:cs="Arial"/>
          <w:b/>
          <w:lang w:eastAsia="pt-BR"/>
        </w:rPr>
      </w:pPr>
    </w:p>
    <w:p w:rsidR="001958B7" w:rsidRPr="001958B7" w:rsidRDefault="001958B7" w:rsidP="0004086F">
      <w:pPr>
        <w:autoSpaceDE w:val="0"/>
        <w:autoSpaceDN w:val="0"/>
        <w:adjustRightInd w:val="0"/>
        <w:spacing w:after="0" w:line="276" w:lineRule="auto"/>
        <w:ind w:firstLine="708"/>
        <w:jc w:val="both"/>
        <w:rPr>
          <w:rFonts w:ascii="Arial" w:hAnsi="Arial" w:cs="Arial"/>
          <w:lang w:eastAsia="pt-BR"/>
        </w:rPr>
      </w:pPr>
      <w:r>
        <w:rPr>
          <w:rFonts w:ascii="Arial" w:hAnsi="Arial" w:cs="Arial"/>
          <w:b/>
          <w:lang w:eastAsia="pt-BR"/>
        </w:rPr>
        <w:t>IMPUGNAÇÃO</w:t>
      </w:r>
      <w:r w:rsidRPr="001958B7">
        <w:rPr>
          <w:rFonts w:ascii="Arial" w:hAnsi="Arial" w:cs="Arial"/>
          <w:b/>
          <w:lang w:eastAsia="pt-BR"/>
        </w:rPr>
        <w:t xml:space="preserve">: </w:t>
      </w:r>
    </w:p>
    <w:p w:rsid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r w:rsidRPr="001958B7">
        <w:rPr>
          <w:rFonts w:ascii="Arial" w:hAnsi="Arial" w:cs="Arial"/>
          <w:b/>
          <w:i/>
          <w:sz w:val="20"/>
          <w:szCs w:val="20"/>
          <w:lang w:eastAsia="pt-BR"/>
        </w:rPr>
        <w:t>1</w:t>
      </w:r>
      <w:r w:rsidRPr="001958B7">
        <w:rPr>
          <w:rFonts w:ascii="Arial" w:hAnsi="Arial" w:cs="Arial"/>
          <w:i/>
          <w:sz w:val="20"/>
          <w:szCs w:val="20"/>
          <w:lang w:eastAsia="pt-BR"/>
        </w:rPr>
        <w:t xml:space="preserve">: </w:t>
      </w:r>
      <w:r w:rsidRPr="001958B7">
        <w:rPr>
          <w:rFonts w:ascii="Arial" w:hAnsi="Arial" w:cs="Arial"/>
          <w:i/>
          <w:sz w:val="20"/>
          <w:szCs w:val="20"/>
          <w:lang w:eastAsia="pt-BR"/>
        </w:rPr>
        <w:t> </w:t>
      </w:r>
      <w:r w:rsidRPr="001958B7">
        <w:rPr>
          <w:rFonts w:ascii="Arial" w:hAnsi="Arial" w:cs="Arial"/>
          <w:i/>
          <w:sz w:val="20"/>
          <w:szCs w:val="20"/>
          <w:lang w:eastAsia="pt-BR"/>
        </w:rPr>
        <w:t xml:space="preserve">Entendemos que a visita técnica obrigatória prevista no item 6.8 do Edital restringe a competição no processo licitatório por se tratar de serviço comum, uma vez que, onera desnecessariamente as empresas participantes, indo em desencontro com o disposto no Art. 3º da Lei n.º 8666/93. </w:t>
      </w:r>
    </w:p>
    <w:p w:rsidR="001958B7" w:rsidRP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Art. 3</w:t>
      </w:r>
      <w:r>
        <w:rPr>
          <w:rFonts w:ascii="Arial" w:hAnsi="Arial" w:cs="Arial"/>
          <w:i/>
          <w:sz w:val="20"/>
          <w:szCs w:val="20"/>
          <w:lang w:eastAsia="pt-BR"/>
        </w:rPr>
        <w:t>º</w:t>
      </w:r>
      <w:r w:rsidRPr="001958B7">
        <w:rPr>
          <w:rFonts w:ascii="Arial" w:hAnsi="Arial" w:cs="Arial"/>
          <w:i/>
          <w:sz w:val="20"/>
          <w:szCs w:val="20"/>
          <w:lang w:eastAsia="pt-BR"/>
        </w:rPr>
        <w:t>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 1</w:t>
      </w:r>
      <w:r>
        <w:rPr>
          <w:rFonts w:ascii="Arial" w:hAnsi="Arial" w:cs="Arial"/>
          <w:i/>
          <w:sz w:val="20"/>
          <w:szCs w:val="20"/>
          <w:lang w:eastAsia="pt-BR"/>
        </w:rPr>
        <w:t>º</w:t>
      </w:r>
      <w:r w:rsidRPr="001958B7">
        <w:rPr>
          <w:rFonts w:ascii="Arial" w:hAnsi="Arial" w:cs="Arial"/>
          <w:i/>
          <w:sz w:val="20"/>
          <w:szCs w:val="20"/>
          <w:lang w:eastAsia="pt-BR"/>
        </w:rPr>
        <w:t>  É vedado aos agentes públicos:</w:t>
      </w: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I - admitir, prever, incluir ou tolerar, nos atos de convocação, cláusulas ou condições que comprometam, restrinjam ou frustrem o seu caráter competitivo,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5o a 12 deste artigo e no art. 3o da Lei no 8.248, de 23 de outubro de 1991; (grifo nosso)</w:t>
      </w: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r w:rsidRPr="001958B7">
        <w:rPr>
          <w:rFonts w:ascii="Arial" w:hAnsi="Arial" w:cs="Arial"/>
          <w:i/>
          <w:sz w:val="20"/>
          <w:szCs w:val="20"/>
          <w:lang w:eastAsia="pt-BR"/>
        </w:rPr>
        <w:t xml:space="preserve">O TCU tem se manifestado no sentido de que somente pode ser exigida a visita técnica em casos excepcionais, isto é, nas situações em que a complexidade ou natureza do objeto a justifiquem. Sendo que, quando não for essa a situação concreta, mostra-se </w:t>
      </w:r>
      <w:r w:rsidRPr="001958B7">
        <w:rPr>
          <w:rFonts w:ascii="Arial" w:hAnsi="Arial" w:cs="Arial"/>
          <w:i/>
          <w:sz w:val="20"/>
          <w:szCs w:val="20"/>
          <w:lang w:eastAsia="pt-BR"/>
        </w:rPr>
        <w:lastRenderedPageBreak/>
        <w:t>suficiente a simples declaração do licitante de que tem pleno conhecimento das condições de prestação dos serviços</w:t>
      </w:r>
    </w:p>
    <w:p w:rsidR="001958B7" w:rsidRP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708" w:firstLine="708"/>
        <w:jc w:val="both"/>
        <w:rPr>
          <w:rFonts w:ascii="Arial" w:hAnsi="Arial" w:cs="Arial"/>
          <w:i/>
          <w:sz w:val="20"/>
          <w:szCs w:val="20"/>
          <w:lang w:eastAsia="pt-BR"/>
        </w:rPr>
      </w:pPr>
      <w:r w:rsidRPr="001958B7">
        <w:rPr>
          <w:rFonts w:ascii="Arial" w:hAnsi="Arial" w:cs="Arial"/>
          <w:i/>
          <w:sz w:val="20"/>
          <w:szCs w:val="20"/>
          <w:lang w:eastAsia="pt-BR"/>
        </w:rPr>
        <w:t>Acordão n°906/2012 – Plenário</w:t>
      </w:r>
    </w:p>
    <w:p w:rsidR="001958B7" w:rsidRPr="001958B7" w:rsidRDefault="001958B7" w:rsidP="0004086F">
      <w:pPr>
        <w:autoSpaceDE w:val="0"/>
        <w:autoSpaceDN w:val="0"/>
        <w:adjustRightInd w:val="0"/>
        <w:spacing w:after="0" w:line="276" w:lineRule="auto"/>
        <w:ind w:left="708" w:firstLine="708"/>
        <w:jc w:val="both"/>
        <w:rPr>
          <w:rFonts w:ascii="Arial" w:hAnsi="Arial" w:cs="Arial"/>
          <w:i/>
          <w:sz w:val="20"/>
          <w:szCs w:val="20"/>
          <w:lang w:eastAsia="pt-BR"/>
        </w:rPr>
      </w:pP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“Abstenha-se de inserir em seus instrumentos convocatórios cláusulas impondo a obrigatoriedade de comparecimento ao local das obras quando, por sua limitação de tempo e em face da complexidade e extensão do objeto licitado, pouco acrescente acerca do conhecimento dos concorrentes sobre a obra/serviço, de maneira a preservar o que preconiza o art. 3ª caput, e § 1º, inciso I, da Lei 8.666/93, sendo suficiente a declaração do licitante de que conhece as condições locais para a execução do objeto”.</w:t>
      </w:r>
    </w:p>
    <w:p w:rsid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708" w:firstLine="708"/>
        <w:jc w:val="both"/>
        <w:rPr>
          <w:rFonts w:ascii="Arial" w:hAnsi="Arial" w:cs="Arial"/>
          <w:i/>
          <w:sz w:val="20"/>
          <w:szCs w:val="20"/>
          <w:lang w:eastAsia="pt-BR"/>
        </w:rPr>
      </w:pPr>
      <w:r w:rsidRPr="001958B7">
        <w:rPr>
          <w:rFonts w:ascii="Arial" w:hAnsi="Arial" w:cs="Arial"/>
          <w:i/>
          <w:sz w:val="20"/>
          <w:szCs w:val="20"/>
          <w:lang w:eastAsia="pt-BR"/>
        </w:rPr>
        <w:t>Acórdão 874/2007 Segunda Câmara (Sumário)</w:t>
      </w: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A exigência de vistoria que onere de forma desnecessária a participação de interessados em procedimento licitatório caracteriza restrição ao caráter competitivo da licitação, de que trata o art. 3º da Lei no 8.666/1993, ensejando, por isso, a nulidade do procedimento.</w:t>
      </w:r>
    </w:p>
    <w:p w:rsid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Acórdão 1842/2013-Plenário,</w:t>
      </w:r>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hyperlink r:id="rId4" w:history="1">
        <w:r w:rsidRPr="001958B7">
          <w:rPr>
            <w:rFonts w:ascii="Arial" w:hAnsi="Arial" w:cs="Arial"/>
            <w:i/>
            <w:sz w:val="20"/>
            <w:szCs w:val="20"/>
            <w:lang w:eastAsia="pt-BR"/>
          </w:rPr>
          <w:t>A vistoria prévia no local da obra só pode ser demandada se for imprescindível para a caracterização do objeto, e deve ser agendada em datas e horários específicos para cada licitante, de modo a preservar o caráter competitivo do certame.</w:t>
        </w:r>
      </w:hyperlink>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hyperlink r:id="rId5" w:history="1">
        <w:r w:rsidRPr="001958B7">
          <w:rPr>
            <w:rFonts w:ascii="Arial" w:hAnsi="Arial" w:cs="Arial"/>
            <w:i/>
            <w:sz w:val="20"/>
            <w:szCs w:val="20"/>
            <w:lang w:eastAsia="pt-BR"/>
          </w:rPr>
          <w:t>Acórdão 234/2015-Plenário</w:t>
        </w:r>
      </w:hyperlink>
    </w:p>
    <w:p w:rsidR="001958B7" w:rsidRPr="001958B7" w:rsidRDefault="001958B7" w:rsidP="0004086F">
      <w:pPr>
        <w:autoSpaceDE w:val="0"/>
        <w:autoSpaceDN w:val="0"/>
        <w:adjustRightInd w:val="0"/>
        <w:spacing w:after="0" w:line="276" w:lineRule="auto"/>
        <w:ind w:left="1416"/>
        <w:jc w:val="both"/>
        <w:rPr>
          <w:rFonts w:ascii="Arial" w:hAnsi="Arial" w:cs="Arial"/>
          <w:i/>
          <w:sz w:val="20"/>
          <w:szCs w:val="20"/>
          <w:lang w:eastAsia="pt-BR"/>
        </w:rPr>
      </w:pPr>
      <w:r w:rsidRPr="001958B7">
        <w:rPr>
          <w:rFonts w:ascii="Arial" w:hAnsi="Arial" w:cs="Arial"/>
          <w:i/>
          <w:sz w:val="20"/>
          <w:szCs w:val="20"/>
          <w:lang w:eastAsia="pt-BR"/>
        </w:rPr>
        <w:t>A vistoria ao local das obras somente deve ser exigida quando for imprescindível ao cumprimento adequado das obrigações contratuais, o que deve ser justificado e demonstrado pela Administração no processo de licitação, devendo o edital prever a possibilidade de substituição do atestado de visita técnica por declaração do responsável técnico de que possui pleno conhecimento do objeto. As visitas ao local de execução da obra devem ser prioritariamente compreendidas como um direito subjetivo da empresa licitante, e não uma obrigação imposta pela Administração (grifo nosso), motivo pelo qual devem ser uma faculdade dada pela Administração aos participantes do certame.</w:t>
      </w:r>
    </w:p>
    <w:p w:rsidR="001958B7" w:rsidRP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P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r w:rsidRPr="001958B7">
        <w:rPr>
          <w:rFonts w:ascii="Arial" w:hAnsi="Arial" w:cs="Arial"/>
          <w:i/>
          <w:sz w:val="20"/>
          <w:szCs w:val="20"/>
          <w:lang w:eastAsia="pt-BR"/>
        </w:rPr>
        <w:t>Sendo assim, solicitamos a retificação do Edital e republicação, retirando a obrigação de visita técnica às licitantes, por se tratar de cláusula restritiva à competição.</w:t>
      </w:r>
    </w:p>
    <w:p w:rsidR="001958B7" w:rsidRP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708"/>
        <w:jc w:val="both"/>
        <w:rPr>
          <w:rFonts w:ascii="Arial" w:hAnsi="Arial" w:cs="Arial"/>
          <w:i/>
          <w:sz w:val="20"/>
          <w:szCs w:val="20"/>
          <w:lang w:eastAsia="pt-BR"/>
        </w:rPr>
      </w:pPr>
    </w:p>
    <w:p w:rsidR="001958B7" w:rsidRDefault="001958B7" w:rsidP="0004086F">
      <w:pPr>
        <w:autoSpaceDE w:val="0"/>
        <w:autoSpaceDN w:val="0"/>
        <w:adjustRightInd w:val="0"/>
        <w:spacing w:after="0" w:line="276" w:lineRule="auto"/>
        <w:ind w:left="709"/>
        <w:jc w:val="both"/>
        <w:rPr>
          <w:rFonts w:ascii="Arial" w:eastAsia="Times New Roman" w:hAnsi="Arial" w:cs="Arial"/>
          <w:b/>
          <w:lang w:eastAsia="pt-BR"/>
        </w:rPr>
      </w:pPr>
      <w:r w:rsidRPr="001958B7">
        <w:rPr>
          <w:rFonts w:ascii="Arial" w:eastAsia="Times New Roman" w:hAnsi="Arial" w:cs="Arial"/>
          <w:b/>
          <w:lang w:eastAsia="pt-BR"/>
        </w:rPr>
        <w:t>RESPOSTA:</w:t>
      </w:r>
    </w:p>
    <w:p w:rsidR="004E33B6" w:rsidRDefault="001958B7"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t>A</w:t>
      </w:r>
      <w:r w:rsidRPr="001958B7">
        <w:rPr>
          <w:rFonts w:ascii="Arial" w:hAnsi="Arial" w:cs="Arial"/>
          <w:lang w:eastAsia="pt-BR"/>
        </w:rPr>
        <w:t>s exigências de comprovaç</w:t>
      </w:r>
      <w:r>
        <w:rPr>
          <w:rFonts w:ascii="Arial" w:hAnsi="Arial" w:cs="Arial"/>
          <w:lang w:eastAsia="pt-BR"/>
        </w:rPr>
        <w:t xml:space="preserve">ão de </w:t>
      </w:r>
      <w:r w:rsidR="004E33B6">
        <w:rPr>
          <w:rFonts w:ascii="Arial" w:hAnsi="Arial" w:cs="Arial"/>
          <w:lang w:eastAsia="pt-BR"/>
        </w:rPr>
        <w:t>Visita Técnica Prévia</w:t>
      </w:r>
      <w:r>
        <w:rPr>
          <w:rFonts w:ascii="Arial" w:hAnsi="Arial" w:cs="Arial"/>
          <w:lang w:eastAsia="pt-BR"/>
        </w:rPr>
        <w:t xml:space="preserve"> ora </w:t>
      </w:r>
      <w:r w:rsidR="004E33B6">
        <w:rPr>
          <w:rFonts w:ascii="Arial" w:hAnsi="Arial" w:cs="Arial"/>
          <w:lang w:eastAsia="pt-BR"/>
        </w:rPr>
        <w:t>questionad</w:t>
      </w:r>
      <w:r w:rsidR="003000A4">
        <w:rPr>
          <w:rFonts w:ascii="Arial" w:hAnsi="Arial" w:cs="Arial"/>
          <w:lang w:eastAsia="pt-BR"/>
        </w:rPr>
        <w:t>a</w:t>
      </w:r>
      <w:r w:rsidR="004E33B6">
        <w:rPr>
          <w:rFonts w:ascii="Arial" w:hAnsi="Arial" w:cs="Arial"/>
          <w:lang w:eastAsia="pt-BR"/>
        </w:rPr>
        <w:t>, exigid</w:t>
      </w:r>
      <w:r w:rsidR="003000A4">
        <w:rPr>
          <w:rFonts w:ascii="Arial" w:hAnsi="Arial" w:cs="Arial"/>
          <w:lang w:eastAsia="pt-BR"/>
        </w:rPr>
        <w:t>a</w:t>
      </w:r>
      <w:r>
        <w:rPr>
          <w:rFonts w:ascii="Arial" w:hAnsi="Arial" w:cs="Arial"/>
          <w:lang w:eastAsia="pt-BR"/>
        </w:rPr>
        <w:t xml:space="preserve"> no</w:t>
      </w:r>
      <w:r w:rsidRPr="001958B7">
        <w:rPr>
          <w:rFonts w:ascii="Arial" w:hAnsi="Arial" w:cs="Arial"/>
          <w:lang w:eastAsia="pt-BR"/>
        </w:rPr>
        <w:t xml:space="preserve"> </w:t>
      </w:r>
      <w:r>
        <w:rPr>
          <w:rFonts w:ascii="Arial" w:hAnsi="Arial" w:cs="Arial"/>
          <w:lang w:eastAsia="pt-BR"/>
        </w:rPr>
        <w:t>Edital da Tomada de Preços nº</w:t>
      </w:r>
      <w:r w:rsidRPr="001958B7">
        <w:rPr>
          <w:rFonts w:ascii="Arial" w:hAnsi="Arial" w:cs="Arial"/>
          <w:lang w:eastAsia="pt-BR"/>
        </w:rPr>
        <w:t xml:space="preserve"> 01/201</w:t>
      </w:r>
      <w:r>
        <w:rPr>
          <w:rFonts w:ascii="Arial" w:hAnsi="Arial" w:cs="Arial"/>
          <w:lang w:eastAsia="pt-BR"/>
        </w:rPr>
        <w:t>7</w:t>
      </w:r>
      <w:r w:rsidRPr="001958B7">
        <w:rPr>
          <w:rFonts w:ascii="Arial" w:hAnsi="Arial" w:cs="Arial"/>
          <w:lang w:eastAsia="pt-BR"/>
        </w:rPr>
        <w:t xml:space="preserve">, </w:t>
      </w:r>
      <w:r>
        <w:rPr>
          <w:rFonts w:ascii="Arial" w:hAnsi="Arial" w:cs="Arial"/>
          <w:lang w:eastAsia="pt-BR"/>
        </w:rPr>
        <w:t xml:space="preserve">justifica-se em razão </w:t>
      </w:r>
      <w:r w:rsidR="004E33B6">
        <w:rPr>
          <w:rFonts w:ascii="Arial" w:hAnsi="Arial" w:cs="Arial"/>
          <w:lang w:eastAsia="pt-BR"/>
        </w:rPr>
        <w:t>da</w:t>
      </w:r>
      <w:r w:rsidRPr="001958B7">
        <w:rPr>
          <w:rFonts w:ascii="Arial" w:hAnsi="Arial" w:cs="Arial"/>
          <w:lang w:eastAsia="pt-BR"/>
        </w:rPr>
        <w:t xml:space="preserve"> complexidade das interferências existentes na cobertura do Palácio Aloísio filho, </w:t>
      </w:r>
      <w:r w:rsidR="004E33B6">
        <w:rPr>
          <w:rFonts w:ascii="Arial" w:hAnsi="Arial" w:cs="Arial"/>
          <w:lang w:eastAsia="pt-BR"/>
        </w:rPr>
        <w:t xml:space="preserve">tais como </w:t>
      </w:r>
      <w:r w:rsidRPr="001958B7">
        <w:rPr>
          <w:rFonts w:ascii="Arial" w:hAnsi="Arial" w:cs="Arial"/>
          <w:lang w:eastAsia="pt-BR"/>
        </w:rPr>
        <w:t xml:space="preserve">redes de abastecimento, antenas, sistema de proteção contra </w:t>
      </w:r>
      <w:r w:rsidRPr="001958B7">
        <w:rPr>
          <w:rFonts w:ascii="Arial" w:hAnsi="Arial" w:cs="Arial"/>
          <w:lang w:eastAsia="pt-BR"/>
        </w:rPr>
        <w:lastRenderedPageBreak/>
        <w:t>descargas atmosféricas e aterramento, calhas pluviais, placas de sombreamento e seu sistema de apoio.</w:t>
      </w:r>
    </w:p>
    <w:p w:rsidR="004E33B6" w:rsidRDefault="004E33B6" w:rsidP="0004086F">
      <w:pPr>
        <w:autoSpaceDE w:val="0"/>
        <w:autoSpaceDN w:val="0"/>
        <w:adjustRightInd w:val="0"/>
        <w:spacing w:after="0" w:line="276" w:lineRule="auto"/>
        <w:ind w:left="709"/>
        <w:jc w:val="both"/>
        <w:rPr>
          <w:rFonts w:ascii="Arial" w:hAnsi="Arial" w:cs="Arial"/>
          <w:lang w:eastAsia="pt-BR"/>
        </w:rPr>
      </w:pPr>
    </w:p>
    <w:p w:rsidR="001958B7" w:rsidRDefault="004E33B6"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t>Não se trata de um serviço comum, como alegado, sendo de extrema importância que os interessados entendam plenamente as</w:t>
      </w:r>
      <w:r w:rsidR="001958B7" w:rsidRPr="001958B7">
        <w:rPr>
          <w:rFonts w:ascii="Arial" w:hAnsi="Arial" w:cs="Arial"/>
          <w:lang w:eastAsia="pt-BR"/>
        </w:rPr>
        <w:t xml:space="preserve"> dificuldades e o nível de detalhamento para a</w:t>
      </w:r>
      <w:r>
        <w:rPr>
          <w:rFonts w:ascii="Arial" w:hAnsi="Arial" w:cs="Arial"/>
          <w:lang w:eastAsia="pt-BR"/>
        </w:rPr>
        <w:t xml:space="preserve"> perfeita</w:t>
      </w:r>
      <w:r w:rsidR="001958B7" w:rsidRPr="001958B7">
        <w:rPr>
          <w:rFonts w:ascii="Arial" w:hAnsi="Arial" w:cs="Arial"/>
          <w:lang w:eastAsia="pt-BR"/>
        </w:rPr>
        <w:t xml:space="preserve"> execução d</w:t>
      </w:r>
      <w:r>
        <w:rPr>
          <w:rFonts w:ascii="Arial" w:hAnsi="Arial" w:cs="Arial"/>
          <w:lang w:eastAsia="pt-BR"/>
        </w:rPr>
        <w:t>o projeto de impermeabilização que se quer contratar.</w:t>
      </w:r>
    </w:p>
    <w:p w:rsidR="004E33B6" w:rsidRDefault="004E33B6" w:rsidP="0004086F">
      <w:pPr>
        <w:autoSpaceDE w:val="0"/>
        <w:autoSpaceDN w:val="0"/>
        <w:adjustRightInd w:val="0"/>
        <w:spacing w:after="0" w:line="276" w:lineRule="auto"/>
        <w:ind w:left="709"/>
        <w:jc w:val="both"/>
        <w:rPr>
          <w:rFonts w:ascii="Arial" w:hAnsi="Arial" w:cs="Arial"/>
          <w:lang w:eastAsia="pt-BR"/>
        </w:rPr>
      </w:pPr>
    </w:p>
    <w:p w:rsidR="004E33B6" w:rsidRDefault="004E33B6"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t xml:space="preserve">Quanto a caracterizar restrição ao caráter competitivo, gize-se que o Edital é extremamente flexível no sentido de permitir a visitação </w:t>
      </w:r>
      <w:r w:rsidR="00334627">
        <w:rPr>
          <w:rFonts w:ascii="Arial" w:hAnsi="Arial" w:cs="Arial"/>
          <w:lang w:eastAsia="pt-BR"/>
        </w:rPr>
        <w:t>a</w:t>
      </w:r>
      <w:r>
        <w:rPr>
          <w:rFonts w:ascii="Arial" w:hAnsi="Arial" w:cs="Arial"/>
          <w:lang w:eastAsia="pt-BR"/>
        </w:rPr>
        <w:t xml:space="preserve"> qualquer horário, desde que agendado e dentro do horário de funcionamento da Câmara Municipal de Porto Alegre.</w:t>
      </w:r>
    </w:p>
    <w:p w:rsidR="003000A4" w:rsidRDefault="003000A4" w:rsidP="0004086F">
      <w:pPr>
        <w:autoSpaceDE w:val="0"/>
        <w:autoSpaceDN w:val="0"/>
        <w:adjustRightInd w:val="0"/>
        <w:spacing w:after="0" w:line="276" w:lineRule="auto"/>
        <w:ind w:left="709"/>
        <w:jc w:val="both"/>
        <w:rPr>
          <w:rFonts w:ascii="Arial" w:hAnsi="Arial" w:cs="Arial"/>
          <w:lang w:eastAsia="pt-BR"/>
        </w:rPr>
      </w:pPr>
    </w:p>
    <w:p w:rsidR="004E33B6" w:rsidRDefault="004E33B6"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t>Acrescente-se que a flexibilidade</w:t>
      </w:r>
      <w:r w:rsidR="00334627">
        <w:rPr>
          <w:rFonts w:ascii="Arial" w:hAnsi="Arial" w:cs="Arial"/>
          <w:lang w:eastAsia="pt-BR"/>
        </w:rPr>
        <w:t xml:space="preserve"> acima referida</w:t>
      </w:r>
      <w:r>
        <w:rPr>
          <w:rFonts w:ascii="Arial" w:hAnsi="Arial" w:cs="Arial"/>
          <w:lang w:eastAsia="pt-BR"/>
        </w:rPr>
        <w:t xml:space="preserve"> também </w:t>
      </w:r>
      <w:r w:rsidR="00334627">
        <w:rPr>
          <w:rFonts w:ascii="Arial" w:hAnsi="Arial" w:cs="Arial"/>
          <w:lang w:eastAsia="pt-BR"/>
        </w:rPr>
        <w:t>está</w:t>
      </w:r>
      <w:r>
        <w:rPr>
          <w:rFonts w:ascii="Arial" w:hAnsi="Arial" w:cs="Arial"/>
          <w:lang w:eastAsia="pt-BR"/>
        </w:rPr>
        <w:t xml:space="preserve"> demonstra</w:t>
      </w:r>
      <w:r w:rsidR="00334627">
        <w:rPr>
          <w:rFonts w:ascii="Arial" w:hAnsi="Arial" w:cs="Arial"/>
          <w:lang w:eastAsia="pt-BR"/>
        </w:rPr>
        <w:t>da</w:t>
      </w:r>
      <w:r>
        <w:rPr>
          <w:rFonts w:ascii="Arial" w:hAnsi="Arial" w:cs="Arial"/>
          <w:lang w:eastAsia="pt-BR"/>
        </w:rPr>
        <w:t xml:space="preserve"> </w:t>
      </w:r>
      <w:r w:rsidR="00334627">
        <w:rPr>
          <w:rFonts w:ascii="Arial" w:hAnsi="Arial" w:cs="Arial"/>
          <w:lang w:eastAsia="pt-BR"/>
        </w:rPr>
        <w:t>n</w:t>
      </w:r>
      <w:r w:rsidR="00334627">
        <w:rPr>
          <w:rFonts w:ascii="Arial" w:hAnsi="Arial" w:cs="Arial"/>
          <w:lang w:eastAsia="pt-BR"/>
        </w:rPr>
        <w:t>o item 6.8.1</w:t>
      </w:r>
      <w:r w:rsidR="00334627">
        <w:rPr>
          <w:rFonts w:ascii="Arial" w:hAnsi="Arial" w:cs="Arial"/>
          <w:lang w:eastAsia="pt-BR"/>
        </w:rPr>
        <w:t xml:space="preserve"> d</w:t>
      </w:r>
      <w:r>
        <w:rPr>
          <w:rFonts w:ascii="Arial" w:hAnsi="Arial" w:cs="Arial"/>
          <w:lang w:eastAsia="pt-BR"/>
        </w:rPr>
        <w:t xml:space="preserve">o Edital, </w:t>
      </w:r>
      <w:r w:rsidR="00334627">
        <w:rPr>
          <w:rFonts w:ascii="Arial" w:hAnsi="Arial" w:cs="Arial"/>
          <w:lang w:eastAsia="pt-BR"/>
        </w:rPr>
        <w:t xml:space="preserve">ao </w:t>
      </w:r>
      <w:r>
        <w:rPr>
          <w:rFonts w:ascii="Arial" w:hAnsi="Arial" w:cs="Arial"/>
          <w:lang w:eastAsia="pt-BR"/>
        </w:rPr>
        <w:t>permit</w:t>
      </w:r>
      <w:r w:rsidR="00334627">
        <w:rPr>
          <w:rFonts w:ascii="Arial" w:hAnsi="Arial" w:cs="Arial"/>
          <w:lang w:eastAsia="pt-BR"/>
        </w:rPr>
        <w:t>ir o</w:t>
      </w:r>
      <w:r>
        <w:rPr>
          <w:rFonts w:ascii="Arial" w:hAnsi="Arial" w:cs="Arial"/>
          <w:lang w:eastAsia="pt-BR"/>
        </w:rPr>
        <w:t xml:space="preserve"> </w:t>
      </w:r>
      <w:r w:rsidR="003000A4">
        <w:rPr>
          <w:rFonts w:ascii="Arial" w:hAnsi="Arial" w:cs="Arial"/>
          <w:lang w:eastAsia="pt-BR"/>
        </w:rPr>
        <w:t>credenci</w:t>
      </w:r>
      <w:r w:rsidR="00334627">
        <w:rPr>
          <w:rFonts w:ascii="Arial" w:hAnsi="Arial" w:cs="Arial"/>
          <w:lang w:eastAsia="pt-BR"/>
        </w:rPr>
        <w:t>amento de</w:t>
      </w:r>
      <w:r w:rsidR="003000A4">
        <w:rPr>
          <w:rFonts w:ascii="Arial" w:hAnsi="Arial" w:cs="Arial"/>
          <w:lang w:eastAsia="pt-BR"/>
        </w:rPr>
        <w:t xml:space="preserve"> um representante para efetuar a visita</w:t>
      </w:r>
      <w:r w:rsidR="00334627">
        <w:rPr>
          <w:rFonts w:ascii="Arial" w:hAnsi="Arial" w:cs="Arial"/>
          <w:lang w:eastAsia="pt-BR"/>
        </w:rPr>
        <w:t xml:space="preserve"> técnica prévia</w:t>
      </w:r>
      <w:r w:rsidR="003000A4">
        <w:rPr>
          <w:rFonts w:ascii="Arial" w:hAnsi="Arial" w:cs="Arial"/>
          <w:lang w:eastAsia="pt-BR"/>
        </w:rPr>
        <w:t xml:space="preserve">, </w:t>
      </w:r>
      <w:r w:rsidR="00334627">
        <w:rPr>
          <w:rFonts w:ascii="Arial" w:hAnsi="Arial" w:cs="Arial"/>
          <w:lang w:eastAsia="pt-BR"/>
        </w:rPr>
        <w:t>não</w:t>
      </w:r>
      <w:r w:rsidR="003000A4">
        <w:rPr>
          <w:rFonts w:ascii="Arial" w:hAnsi="Arial" w:cs="Arial"/>
          <w:lang w:eastAsia="pt-BR"/>
        </w:rPr>
        <w:t xml:space="preserve"> exig</w:t>
      </w:r>
      <w:r w:rsidR="00334627">
        <w:rPr>
          <w:rFonts w:ascii="Arial" w:hAnsi="Arial" w:cs="Arial"/>
          <w:lang w:eastAsia="pt-BR"/>
        </w:rPr>
        <w:t>indo deste</w:t>
      </w:r>
      <w:r w:rsidR="003000A4">
        <w:rPr>
          <w:rFonts w:ascii="Arial" w:hAnsi="Arial" w:cs="Arial"/>
          <w:lang w:eastAsia="pt-BR"/>
        </w:rPr>
        <w:t xml:space="preserve"> </w:t>
      </w:r>
      <w:r w:rsidR="00334627">
        <w:rPr>
          <w:rFonts w:ascii="Arial" w:hAnsi="Arial" w:cs="Arial"/>
          <w:lang w:eastAsia="pt-BR"/>
        </w:rPr>
        <w:t xml:space="preserve">a manutenção de qualquer vínculo jurídico com o </w:t>
      </w:r>
      <w:r w:rsidR="003000A4">
        <w:rPr>
          <w:rFonts w:ascii="Arial" w:hAnsi="Arial" w:cs="Arial"/>
          <w:lang w:eastAsia="pt-BR"/>
        </w:rPr>
        <w:t>interessado</w:t>
      </w:r>
      <w:r>
        <w:rPr>
          <w:rFonts w:ascii="Arial" w:hAnsi="Arial" w:cs="Arial"/>
          <w:lang w:eastAsia="pt-BR"/>
        </w:rPr>
        <w:t>, in verbis</w:t>
      </w:r>
    </w:p>
    <w:p w:rsidR="004E33B6" w:rsidRDefault="004E33B6" w:rsidP="0004086F">
      <w:pPr>
        <w:autoSpaceDE w:val="0"/>
        <w:autoSpaceDN w:val="0"/>
        <w:adjustRightInd w:val="0"/>
        <w:spacing w:after="0" w:line="276" w:lineRule="auto"/>
        <w:ind w:left="709"/>
        <w:jc w:val="both"/>
        <w:rPr>
          <w:rFonts w:ascii="Arial" w:hAnsi="Arial" w:cs="Arial"/>
          <w:lang w:eastAsia="pt-BR"/>
        </w:rPr>
      </w:pPr>
    </w:p>
    <w:p w:rsidR="0004086F" w:rsidRPr="0004086F" w:rsidRDefault="0004086F"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w:t>
      </w:r>
    </w:p>
    <w:p w:rsidR="004E33B6" w:rsidRPr="0004086F" w:rsidRDefault="004E33B6"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6.8. DA VISTORIA TÉCNICA PRÉVIA:</w:t>
      </w:r>
    </w:p>
    <w:p w:rsidR="004E33B6" w:rsidRPr="0004086F" w:rsidRDefault="004E33B6"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 xml:space="preserve">Antes da elaboração da Proposta de Preços, as licitantes deverão efetuar visita técnica à Seção de Obras e Manutenção (SOM) da CMPA, com prévio agendamento pelo telefone 3220-4129 ou pelo e-mail </w:t>
      </w:r>
      <w:hyperlink r:id="rId6" w:history="1">
        <w:r w:rsidRPr="0004086F">
          <w:rPr>
            <w:rFonts w:ascii="Arial" w:hAnsi="Arial" w:cs="Arial"/>
            <w:b/>
            <w:i/>
            <w:sz w:val="20"/>
            <w:szCs w:val="20"/>
            <w:lang w:eastAsia="pt-BR"/>
          </w:rPr>
          <w:t>servobras@camarapoa.rs.gov.br</w:t>
        </w:r>
      </w:hyperlink>
      <w:r w:rsidRPr="0004086F">
        <w:rPr>
          <w:rFonts w:ascii="Arial" w:hAnsi="Arial" w:cs="Arial"/>
          <w:b/>
          <w:i/>
          <w:sz w:val="20"/>
          <w:szCs w:val="20"/>
          <w:lang w:eastAsia="pt-BR"/>
        </w:rPr>
        <w:t>, atestando que tomou conhecimento de todas as informações e condições necessárias para o cumprimento das obrigações objeto de</w:t>
      </w:r>
      <w:bookmarkStart w:id="0" w:name="_GoBack"/>
      <w:bookmarkEnd w:id="0"/>
      <w:r w:rsidRPr="0004086F">
        <w:rPr>
          <w:rFonts w:ascii="Arial" w:hAnsi="Arial" w:cs="Arial"/>
          <w:b/>
          <w:i/>
          <w:sz w:val="20"/>
          <w:szCs w:val="20"/>
          <w:lang w:eastAsia="pt-BR"/>
        </w:rPr>
        <w:t>sta licitação e que realizou a conferência dos quantitativos especificados na Estimativa de Custos (ANEXO I-B).</w:t>
      </w:r>
    </w:p>
    <w:p w:rsidR="0004086F" w:rsidRPr="0004086F" w:rsidRDefault="0004086F" w:rsidP="0004086F">
      <w:pPr>
        <w:autoSpaceDE w:val="0"/>
        <w:autoSpaceDN w:val="0"/>
        <w:adjustRightInd w:val="0"/>
        <w:spacing w:after="0" w:line="276" w:lineRule="auto"/>
        <w:ind w:left="1416"/>
        <w:jc w:val="both"/>
        <w:rPr>
          <w:rFonts w:ascii="Arial" w:hAnsi="Arial" w:cs="Arial"/>
          <w:b/>
          <w:i/>
          <w:sz w:val="20"/>
          <w:szCs w:val="20"/>
          <w:lang w:eastAsia="pt-BR"/>
        </w:rPr>
      </w:pPr>
    </w:p>
    <w:p w:rsidR="004E33B6" w:rsidRPr="0004086F" w:rsidRDefault="004E33B6"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6.8.1. A visita deverá ser realizada por pessoa especialmente credenciada como representante da licitante.</w:t>
      </w:r>
    </w:p>
    <w:p w:rsidR="0004086F" w:rsidRPr="0004086F" w:rsidRDefault="0004086F" w:rsidP="0004086F">
      <w:pPr>
        <w:autoSpaceDE w:val="0"/>
        <w:autoSpaceDN w:val="0"/>
        <w:adjustRightInd w:val="0"/>
        <w:spacing w:after="0" w:line="276" w:lineRule="auto"/>
        <w:ind w:left="1416"/>
        <w:jc w:val="both"/>
        <w:rPr>
          <w:rFonts w:ascii="Arial" w:hAnsi="Arial" w:cs="Arial"/>
          <w:b/>
          <w:i/>
          <w:sz w:val="20"/>
          <w:szCs w:val="20"/>
          <w:lang w:eastAsia="pt-BR"/>
        </w:rPr>
      </w:pPr>
    </w:p>
    <w:p w:rsidR="004E33B6" w:rsidRPr="0004086F" w:rsidRDefault="004E33B6"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6.8.2. Não será admitido um mesmo profissional como representante de mais de 1 (uma) licitante.</w:t>
      </w:r>
    </w:p>
    <w:p w:rsidR="0004086F" w:rsidRPr="0004086F" w:rsidRDefault="0004086F" w:rsidP="0004086F">
      <w:pPr>
        <w:autoSpaceDE w:val="0"/>
        <w:autoSpaceDN w:val="0"/>
        <w:adjustRightInd w:val="0"/>
        <w:spacing w:after="0" w:line="276" w:lineRule="auto"/>
        <w:ind w:left="1416"/>
        <w:jc w:val="both"/>
        <w:rPr>
          <w:rFonts w:ascii="Arial" w:hAnsi="Arial" w:cs="Arial"/>
          <w:b/>
          <w:i/>
          <w:sz w:val="20"/>
          <w:szCs w:val="20"/>
          <w:lang w:eastAsia="pt-BR"/>
        </w:rPr>
      </w:pPr>
    </w:p>
    <w:p w:rsidR="004E33B6" w:rsidRPr="0004086F" w:rsidRDefault="004E33B6"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6.9. Efetuada a visita, as licitantes preencherão COMPROVANTE DE VISTORIA (modelo ANEXO IV), que deverá ser visado pela SOM da CMPA, e DEVERÁ SER INCLUÍDO NO ENVELOPE DE PROPOSTA - Nº 2, para fins de proposta.</w:t>
      </w:r>
    </w:p>
    <w:p w:rsidR="0004086F" w:rsidRPr="0004086F" w:rsidRDefault="0004086F" w:rsidP="0004086F">
      <w:pPr>
        <w:autoSpaceDE w:val="0"/>
        <w:autoSpaceDN w:val="0"/>
        <w:adjustRightInd w:val="0"/>
        <w:spacing w:after="0" w:line="276" w:lineRule="auto"/>
        <w:ind w:left="1416"/>
        <w:jc w:val="both"/>
        <w:rPr>
          <w:rFonts w:ascii="Arial" w:hAnsi="Arial" w:cs="Arial"/>
          <w:b/>
          <w:i/>
          <w:sz w:val="20"/>
          <w:szCs w:val="20"/>
          <w:lang w:eastAsia="pt-BR"/>
        </w:rPr>
      </w:pPr>
      <w:r w:rsidRPr="0004086F">
        <w:rPr>
          <w:rFonts w:ascii="Arial" w:hAnsi="Arial" w:cs="Arial"/>
          <w:b/>
          <w:i/>
          <w:sz w:val="20"/>
          <w:szCs w:val="20"/>
          <w:lang w:eastAsia="pt-BR"/>
        </w:rPr>
        <w:t>...”</w:t>
      </w:r>
    </w:p>
    <w:p w:rsidR="004E33B6" w:rsidRPr="00334627" w:rsidRDefault="004E33B6" w:rsidP="0004086F">
      <w:pPr>
        <w:autoSpaceDE w:val="0"/>
        <w:autoSpaceDN w:val="0"/>
        <w:adjustRightInd w:val="0"/>
        <w:spacing w:after="0" w:line="276" w:lineRule="auto"/>
        <w:ind w:left="709"/>
        <w:jc w:val="both"/>
        <w:rPr>
          <w:rFonts w:ascii="Arial" w:hAnsi="Arial" w:cs="Arial"/>
          <w:b/>
          <w:lang w:eastAsia="pt-BR"/>
        </w:rPr>
      </w:pPr>
    </w:p>
    <w:p w:rsidR="00334627" w:rsidRDefault="003000A4"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t>Os Acórdãos citados na peça impugnatória corroboram a legitimidade da exigência, eis que essencial para o cumprimento adequado das obrigações contratuais.</w:t>
      </w:r>
    </w:p>
    <w:p w:rsidR="00334627" w:rsidRDefault="00334627" w:rsidP="0004086F">
      <w:pPr>
        <w:autoSpaceDE w:val="0"/>
        <w:autoSpaceDN w:val="0"/>
        <w:adjustRightInd w:val="0"/>
        <w:spacing w:after="0" w:line="276" w:lineRule="auto"/>
        <w:ind w:left="709"/>
        <w:jc w:val="both"/>
        <w:rPr>
          <w:rFonts w:ascii="Arial" w:hAnsi="Arial" w:cs="Arial"/>
          <w:lang w:eastAsia="pt-BR"/>
        </w:rPr>
      </w:pPr>
    </w:p>
    <w:p w:rsidR="003000A4" w:rsidRPr="00524211" w:rsidRDefault="003000A4" w:rsidP="0004086F">
      <w:pPr>
        <w:autoSpaceDE w:val="0"/>
        <w:autoSpaceDN w:val="0"/>
        <w:adjustRightInd w:val="0"/>
        <w:spacing w:after="0" w:line="276" w:lineRule="auto"/>
        <w:ind w:left="709"/>
        <w:jc w:val="both"/>
        <w:rPr>
          <w:rFonts w:ascii="Arial" w:hAnsi="Arial" w:cs="Arial"/>
          <w:lang w:eastAsia="pt-BR"/>
        </w:rPr>
      </w:pPr>
      <w:r>
        <w:rPr>
          <w:rFonts w:ascii="Arial" w:hAnsi="Arial" w:cs="Arial"/>
          <w:lang w:eastAsia="pt-BR"/>
        </w:rPr>
        <w:lastRenderedPageBreak/>
        <w:t>A exigência foi criteriosamente avaliada pela área técnica, e disposta no texto editalício de forma a garantir o caráter competitivo e o correto entendimento do objeto do certame.</w:t>
      </w:r>
      <w:r w:rsidRPr="00524211">
        <w:rPr>
          <w:rFonts w:ascii="Arial" w:hAnsi="Arial" w:cs="Arial"/>
          <w:lang w:eastAsia="pt-BR"/>
        </w:rPr>
        <w:t xml:space="preserve"> </w:t>
      </w:r>
    </w:p>
    <w:p w:rsidR="001958B7" w:rsidRDefault="001958B7" w:rsidP="0004086F">
      <w:pPr>
        <w:autoSpaceDE w:val="0"/>
        <w:autoSpaceDN w:val="0"/>
        <w:adjustRightInd w:val="0"/>
        <w:spacing w:after="0" w:line="276" w:lineRule="auto"/>
        <w:ind w:left="709"/>
        <w:jc w:val="both"/>
        <w:rPr>
          <w:rFonts w:ascii="Arial" w:hAnsi="Arial" w:cs="Arial"/>
          <w:lang w:eastAsia="pt-BR"/>
        </w:rPr>
      </w:pPr>
    </w:p>
    <w:p w:rsidR="001958B7" w:rsidRPr="001958B7" w:rsidRDefault="001958B7" w:rsidP="0004086F">
      <w:pPr>
        <w:autoSpaceDE w:val="0"/>
        <w:autoSpaceDN w:val="0"/>
        <w:adjustRightInd w:val="0"/>
        <w:spacing w:after="0" w:line="276" w:lineRule="auto"/>
        <w:ind w:firstLine="708"/>
        <w:jc w:val="both"/>
        <w:rPr>
          <w:rFonts w:ascii="Arial" w:hAnsi="Arial" w:cs="Arial"/>
          <w:lang w:eastAsia="pt-BR"/>
        </w:rPr>
      </w:pPr>
      <w:r w:rsidRPr="001958B7">
        <w:rPr>
          <w:rFonts w:ascii="Arial" w:hAnsi="Arial" w:cs="Arial"/>
          <w:color w:val="000000"/>
          <w:lang w:eastAsia="pt-BR"/>
        </w:rPr>
        <w:t>Isto posto,</w:t>
      </w:r>
      <w:r w:rsidRPr="001958B7">
        <w:rPr>
          <w:rFonts w:ascii="Arial" w:hAnsi="Arial" w:cs="Arial"/>
          <w:lang w:eastAsia="pt-BR"/>
        </w:rPr>
        <w:t xml:space="preserve"> ainda que tempestiva, entendemos pelas razões acima citadas pela não acolhida da impugnação.</w:t>
      </w:r>
    </w:p>
    <w:p w:rsidR="001958B7" w:rsidRPr="001958B7" w:rsidRDefault="001958B7" w:rsidP="0004086F">
      <w:pPr>
        <w:autoSpaceDE w:val="0"/>
        <w:autoSpaceDN w:val="0"/>
        <w:adjustRightInd w:val="0"/>
        <w:spacing w:after="0" w:line="276" w:lineRule="auto"/>
        <w:ind w:firstLine="708"/>
        <w:jc w:val="both"/>
        <w:rPr>
          <w:rFonts w:ascii="Arial" w:hAnsi="Arial" w:cs="Arial"/>
          <w:lang w:eastAsia="pt-BR"/>
        </w:rPr>
      </w:pPr>
    </w:p>
    <w:p w:rsidR="001958B7" w:rsidRPr="001958B7" w:rsidRDefault="001958B7" w:rsidP="0004086F">
      <w:pPr>
        <w:autoSpaceDE w:val="0"/>
        <w:autoSpaceDN w:val="0"/>
        <w:adjustRightInd w:val="0"/>
        <w:spacing w:after="0" w:line="276" w:lineRule="auto"/>
        <w:ind w:firstLine="708"/>
        <w:jc w:val="both"/>
        <w:rPr>
          <w:rFonts w:ascii="Arial" w:hAnsi="Arial" w:cs="Arial"/>
          <w:lang w:eastAsia="pt-BR"/>
        </w:rPr>
      </w:pPr>
      <w:r w:rsidRPr="001958B7">
        <w:rPr>
          <w:rFonts w:ascii="Arial" w:hAnsi="Arial" w:cs="Arial"/>
          <w:lang w:eastAsia="pt-BR"/>
        </w:rPr>
        <w:t>Permanecem inalte</w:t>
      </w:r>
      <w:r w:rsidR="003000A4">
        <w:rPr>
          <w:rFonts w:ascii="Arial" w:hAnsi="Arial" w:cs="Arial"/>
          <w:lang w:eastAsia="pt-BR"/>
        </w:rPr>
        <w:t xml:space="preserve">radas as cláusulas do Edital da Tomada de Preços </w:t>
      </w:r>
      <w:r w:rsidRPr="001958B7">
        <w:rPr>
          <w:rFonts w:ascii="Arial" w:hAnsi="Arial" w:cs="Arial"/>
          <w:lang w:eastAsia="pt-BR"/>
        </w:rPr>
        <w:t>nº 01/201</w:t>
      </w:r>
      <w:r w:rsidR="003000A4">
        <w:rPr>
          <w:rFonts w:ascii="Arial" w:hAnsi="Arial" w:cs="Arial"/>
          <w:lang w:eastAsia="pt-BR"/>
        </w:rPr>
        <w:t>7</w:t>
      </w:r>
      <w:r w:rsidRPr="001958B7">
        <w:rPr>
          <w:rFonts w:ascii="Arial" w:hAnsi="Arial" w:cs="Arial"/>
          <w:lang w:eastAsia="pt-BR"/>
        </w:rPr>
        <w:t>.</w:t>
      </w:r>
    </w:p>
    <w:p w:rsidR="001958B7" w:rsidRPr="001958B7" w:rsidRDefault="001958B7" w:rsidP="0004086F">
      <w:pPr>
        <w:spacing w:after="0" w:line="276" w:lineRule="auto"/>
        <w:ind w:firstLine="448"/>
        <w:jc w:val="both"/>
        <w:rPr>
          <w:rFonts w:ascii="Arial" w:hAnsi="Arial" w:cs="Arial"/>
          <w:color w:val="000000"/>
          <w:lang w:eastAsia="pt-BR"/>
        </w:rPr>
      </w:pPr>
    </w:p>
    <w:p w:rsidR="001958B7" w:rsidRPr="001958B7" w:rsidRDefault="001958B7" w:rsidP="0004086F">
      <w:pPr>
        <w:spacing w:after="0" w:line="276" w:lineRule="auto"/>
        <w:ind w:firstLine="448"/>
        <w:jc w:val="both"/>
        <w:rPr>
          <w:rFonts w:ascii="Arial" w:hAnsi="Arial" w:cs="Arial"/>
          <w:color w:val="000000"/>
          <w:lang w:eastAsia="pt-BR"/>
        </w:rPr>
      </w:pPr>
    </w:p>
    <w:p w:rsidR="001958B7" w:rsidRPr="001958B7" w:rsidRDefault="001958B7" w:rsidP="0004086F">
      <w:pPr>
        <w:spacing w:after="0" w:line="276" w:lineRule="auto"/>
        <w:ind w:firstLine="448"/>
        <w:jc w:val="center"/>
        <w:rPr>
          <w:rFonts w:ascii="Arial" w:hAnsi="Arial" w:cs="Arial"/>
          <w:b/>
          <w:color w:val="000000"/>
          <w:lang w:eastAsia="pt-BR"/>
        </w:rPr>
      </w:pPr>
      <w:r w:rsidRPr="001958B7">
        <w:rPr>
          <w:rFonts w:ascii="Arial" w:hAnsi="Arial" w:cs="Arial"/>
          <w:b/>
          <w:color w:val="000000"/>
          <w:lang w:eastAsia="pt-BR"/>
        </w:rPr>
        <w:t>Ana Rita Vardanega Simon</w:t>
      </w:r>
    </w:p>
    <w:p w:rsidR="001958B7" w:rsidRPr="001958B7" w:rsidRDefault="001958B7" w:rsidP="0004086F">
      <w:pPr>
        <w:spacing w:after="0" w:line="276" w:lineRule="auto"/>
        <w:ind w:firstLine="448"/>
        <w:jc w:val="center"/>
        <w:rPr>
          <w:rFonts w:ascii="Arial" w:hAnsi="Arial" w:cs="Arial"/>
          <w:color w:val="000000"/>
          <w:lang w:eastAsia="pt-BR"/>
        </w:rPr>
      </w:pPr>
      <w:r w:rsidRPr="001958B7">
        <w:rPr>
          <w:rFonts w:ascii="Arial" w:hAnsi="Arial" w:cs="Arial"/>
          <w:color w:val="000000"/>
          <w:lang w:eastAsia="pt-BR"/>
        </w:rPr>
        <w:t>Presidente da CEL/CMPA</w:t>
      </w:r>
    </w:p>
    <w:p w:rsidR="0040316F" w:rsidRDefault="0040316F" w:rsidP="0004086F">
      <w:pPr>
        <w:spacing w:line="276" w:lineRule="auto"/>
      </w:pPr>
    </w:p>
    <w:sectPr w:rsidR="0040316F">
      <w:headerReference w:type="defaul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89" w:rsidRDefault="00F81672" w:rsidP="00E46489">
    <w:pPr>
      <w:pStyle w:val="Cabealho"/>
      <w:framePr w:wrap="around" w:vAnchor="text" w:hAnchor="page" w:x="11106" w:y="3"/>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46489" w:rsidRDefault="00F81672" w:rsidP="00E46489">
    <w:pPr>
      <w:pStyle w:val="SemEspaamento"/>
      <w:jc w:val="right"/>
      <w:rPr>
        <w:sz w:val="18"/>
        <w:szCs w:val="20"/>
      </w:rPr>
    </w:pPr>
    <w:r>
      <w:rPr>
        <w:noProof/>
        <w:lang w:eastAsia="pt-BR"/>
      </w:rPr>
      <mc:AlternateContent>
        <mc:Choice Requires="wps">
          <w:drawing>
            <wp:anchor distT="0" distB="0" distL="114300" distR="114300" simplePos="0" relativeHeight="251659264" behindDoc="0" locked="0" layoutInCell="0" allowOverlap="1" wp14:anchorId="7AB936A5" wp14:editId="2E7255E6">
              <wp:simplePos x="0" y="0"/>
              <wp:positionH relativeFrom="column">
                <wp:posOffset>-539750</wp:posOffset>
              </wp:positionH>
              <wp:positionV relativeFrom="paragraph">
                <wp:posOffset>-151130</wp:posOffset>
              </wp:positionV>
              <wp:extent cx="3386455" cy="82296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6489" w:rsidRDefault="00F81672" w:rsidP="00E46489">
                          <w:pPr>
                            <w:jc w:val="center"/>
                            <w:rPr>
                              <w:sz w:val="28"/>
                            </w:rPr>
                          </w:pPr>
                          <w:r>
                            <w:rPr>
                              <w:noProof/>
                              <w:lang w:eastAsia="pt-BR"/>
                            </w:rPr>
                            <w:drawing>
                              <wp:inline distT="0" distB="0" distL="0" distR="0" wp14:anchorId="773F68B5" wp14:editId="56A0E003">
                                <wp:extent cx="285750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E46489" w:rsidRDefault="00F81672" w:rsidP="00E4648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36A5" id="Retângulo 3" o:spid="_x0000_s1026" style="position:absolute;left:0;text-align:left;margin-left:-42.5pt;margin-top:-11.9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" o:allowincell="f" filled="f" stroked="f" strokeweight="2pt">
              <v:textbox inset="1pt,1pt,1pt,1pt">
                <w:txbxContent>
                  <w:p w:rsidR="00E46489" w:rsidRDefault="00F81672" w:rsidP="00E46489">
                    <w:pPr>
                      <w:jc w:val="center"/>
                      <w:rPr>
                        <w:sz w:val="28"/>
                      </w:rPr>
                    </w:pPr>
                    <w:r>
                      <w:rPr>
                        <w:noProof/>
                        <w:lang w:eastAsia="pt-BR"/>
                      </w:rPr>
                      <w:drawing>
                        <wp:inline distT="0" distB="0" distL="0" distR="0" wp14:anchorId="773F68B5" wp14:editId="56A0E003">
                          <wp:extent cx="285750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E46489" w:rsidRDefault="00F81672" w:rsidP="00E46489"/>
                </w:txbxContent>
              </v:textbox>
            </v:rect>
          </w:pict>
        </mc:Fallback>
      </mc:AlternateContent>
    </w:r>
  </w:p>
  <w:p w:rsidR="00E46489" w:rsidRDefault="00F81672" w:rsidP="00E46489">
    <w:pPr>
      <w:pStyle w:val="SemEspaamento"/>
      <w:jc w:val="right"/>
      <w:rPr>
        <w:sz w:val="18"/>
        <w:szCs w:val="20"/>
      </w:rPr>
    </w:pPr>
  </w:p>
  <w:p w:rsidR="00E46489" w:rsidRPr="008C098C" w:rsidRDefault="00F81672" w:rsidP="00E46489">
    <w:pPr>
      <w:pStyle w:val="SemEspaamento"/>
      <w:jc w:val="right"/>
      <w:rPr>
        <w:sz w:val="18"/>
        <w:szCs w:val="20"/>
      </w:rPr>
    </w:pPr>
    <w:r w:rsidRPr="008C098C">
      <w:rPr>
        <w:sz w:val="18"/>
        <w:szCs w:val="20"/>
      </w:rPr>
      <w:t>Av. Loureiro da Silva, 255 - CEP 90013-901 – Porto Alegre/RS</w:t>
    </w:r>
  </w:p>
  <w:p w:rsidR="00E46489" w:rsidRPr="008C098C" w:rsidRDefault="00F81672" w:rsidP="00E46489">
    <w:pPr>
      <w:pStyle w:val="SemEspaamento"/>
      <w:jc w:val="right"/>
      <w:rPr>
        <w:sz w:val="18"/>
        <w:szCs w:val="20"/>
      </w:rPr>
    </w:pPr>
    <w:r w:rsidRPr="008C098C">
      <w:rPr>
        <w:sz w:val="18"/>
        <w:szCs w:val="20"/>
      </w:rPr>
      <w:t>Fone: (51) 3220-4314 – Fax: (51) 3220-4355</w:t>
    </w:r>
  </w:p>
  <w:p w:rsidR="00E46489" w:rsidRDefault="00F81672" w:rsidP="00E46489">
    <w:pPr>
      <w:jc w:val="right"/>
      <w:rPr>
        <w:sz w:val="18"/>
        <w:szCs w:val="20"/>
      </w:rPr>
    </w:pPr>
    <w:r w:rsidRPr="008C098C">
      <w:rPr>
        <w:sz w:val="18"/>
        <w:szCs w:val="20"/>
      </w:rPr>
      <w:t xml:space="preserve">E-mail: </w:t>
    </w:r>
    <w:hyperlink r:id="rId2" w:history="1">
      <w:r w:rsidRPr="004A3BD2">
        <w:rPr>
          <w:rStyle w:val="Hyperlink"/>
          <w:sz w:val="18"/>
          <w:szCs w:val="20"/>
        </w:rPr>
        <w:t>licit@camarapoa.rs.gov.br</w:t>
      </w:r>
    </w:hyperlink>
    <w:r w:rsidRPr="008C098C">
      <w:rPr>
        <w:sz w:val="18"/>
        <w:szCs w:val="20"/>
      </w:rPr>
      <w:t xml:space="preserve"> </w:t>
    </w:r>
  </w:p>
  <w:p w:rsidR="00E46489" w:rsidRDefault="00F81672" w:rsidP="00E46489">
    <w:pPr>
      <w:jc w:val="right"/>
      <w:rPr>
        <w:sz w:val="18"/>
        <w:szCs w:val="20"/>
      </w:rPr>
    </w:pPr>
  </w:p>
  <w:p w:rsidR="00E46489" w:rsidRDefault="00F81672" w:rsidP="00E46489">
    <w:pPr>
      <w:spacing w:after="240"/>
    </w:pPr>
    <w:r>
      <w:rPr>
        <w:noProof/>
        <w:lang w:eastAsia="pt-BR"/>
      </w:rPr>
      <mc:AlternateContent>
        <mc:Choice Requires="wps">
          <w:drawing>
            <wp:anchor distT="0" distB="0" distL="114300" distR="114300" simplePos="0" relativeHeight="251660288" behindDoc="0" locked="0" layoutInCell="0" allowOverlap="1" wp14:anchorId="73561911" wp14:editId="490C8A13">
              <wp:simplePos x="0" y="0"/>
              <wp:positionH relativeFrom="column">
                <wp:posOffset>-100330</wp:posOffset>
              </wp:positionH>
              <wp:positionV relativeFrom="paragraph">
                <wp:posOffset>275590</wp:posOffset>
              </wp:positionV>
              <wp:extent cx="5760720" cy="0"/>
              <wp:effectExtent l="7620" t="5715" r="13335"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8585"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1.7pt" to="445.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" o:allowincell="f"/>
          </w:pict>
        </mc:Fallback>
      </mc:AlternateContent>
    </w:r>
    <w:r>
      <w:rPr>
        <w:b/>
        <w:sz w:val="18"/>
      </w:rPr>
      <w:t>www.camarapoa.rs.gov.br/pregaoonline</w:t>
    </w:r>
  </w:p>
  <w:p w:rsidR="00E46489" w:rsidRDefault="00F816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B7"/>
    <w:rsid w:val="0004086F"/>
    <w:rsid w:val="001901F0"/>
    <w:rsid w:val="001958B7"/>
    <w:rsid w:val="003000A4"/>
    <w:rsid w:val="00334627"/>
    <w:rsid w:val="0040316F"/>
    <w:rsid w:val="004E33B6"/>
    <w:rsid w:val="004F275E"/>
    <w:rsid w:val="00F81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3A6BB-02AC-4C12-8295-B42D9D14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958B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58B7"/>
  </w:style>
  <w:style w:type="paragraph" w:styleId="SemEspaamento">
    <w:name w:val="No Spacing"/>
    <w:uiPriority w:val="1"/>
    <w:qFormat/>
    <w:rsid w:val="001958B7"/>
    <w:pPr>
      <w:spacing w:after="0" w:line="240" w:lineRule="auto"/>
    </w:pPr>
  </w:style>
  <w:style w:type="character" w:styleId="Hyperlink">
    <w:name w:val="Hyperlink"/>
    <w:semiHidden/>
    <w:rsid w:val="001958B7"/>
    <w:rPr>
      <w:color w:val="0000FF"/>
      <w:u w:val="single"/>
    </w:rPr>
  </w:style>
  <w:style w:type="character" w:styleId="Nmerodepgina">
    <w:name w:val="page number"/>
    <w:basedOn w:val="Fontepargpadro"/>
    <w:uiPriority w:val="99"/>
    <w:rsid w:val="001958B7"/>
  </w:style>
  <w:style w:type="paragraph" w:styleId="NormalWeb">
    <w:name w:val="Normal (Web)"/>
    <w:basedOn w:val="Normal"/>
    <w:uiPriority w:val="99"/>
    <w:semiHidden/>
    <w:unhideWhenUsed/>
    <w:rsid w:val="001958B7"/>
    <w:pPr>
      <w:spacing w:before="100" w:beforeAutospacing="1" w:after="100" w:afterAutospacing="1"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0768">
      <w:bodyDiv w:val="1"/>
      <w:marLeft w:val="0"/>
      <w:marRight w:val="0"/>
      <w:marTop w:val="0"/>
      <w:marBottom w:val="0"/>
      <w:divBdr>
        <w:top w:val="none" w:sz="0" w:space="0" w:color="auto"/>
        <w:left w:val="none" w:sz="0" w:space="0" w:color="auto"/>
        <w:bottom w:val="none" w:sz="0" w:space="0" w:color="auto"/>
        <w:right w:val="none" w:sz="0" w:space="0" w:color="auto"/>
      </w:divBdr>
    </w:div>
    <w:div w:id="697506649">
      <w:bodyDiv w:val="1"/>
      <w:marLeft w:val="0"/>
      <w:marRight w:val="0"/>
      <w:marTop w:val="0"/>
      <w:marBottom w:val="0"/>
      <w:divBdr>
        <w:top w:val="none" w:sz="0" w:space="0" w:color="auto"/>
        <w:left w:val="none" w:sz="0" w:space="0" w:color="auto"/>
        <w:bottom w:val="none" w:sz="0" w:space="0" w:color="auto"/>
        <w:right w:val="none" w:sz="0" w:space="0" w:color="auto"/>
      </w:divBdr>
    </w:div>
    <w:div w:id="18435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obras@camarapoa.rs.gov.br" TargetMode="External"/><Relationship Id="rId5" Type="http://schemas.openxmlformats.org/officeDocument/2006/relationships/hyperlink" Target="https://contas.tcu.gov.br/juris/SvlProxyHighlight?base=ACORDAO&amp;ano=2015&amp;numero=234&amp;colegiado=P" TargetMode="External"/><Relationship Id="rId4" Type="http://schemas.openxmlformats.org/officeDocument/2006/relationships/hyperlink" Target="https://licitabrasil.wordpress.com/2013/08/01/a-vistoria-previa-no-local-da-obra-so-pode-ser-demandada-se-for-imprescindivel-para-a-caracterizacao-do-objeto-e-deve-ser-agendada-em-datas-e-horarios-especificos-para-cada-licitante-de-modo-a-prese/"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camarapoa.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1143</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Ana Rita Vardanega Simon</cp:lastModifiedBy>
  <cp:revision>1</cp:revision>
  <cp:lastPrinted>2017-03-23T19:10:00Z</cp:lastPrinted>
  <dcterms:created xsi:type="dcterms:W3CDTF">2017-03-23T18:27:00Z</dcterms:created>
  <dcterms:modified xsi:type="dcterms:W3CDTF">2017-03-23T19:40:00Z</dcterms:modified>
</cp:coreProperties>
</file>