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B6" w:rsidRDefault="003E00B6" w:rsidP="003E00B6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           CAMARA MUNICIPAL DE PORTO ALEGRE</w:t>
      </w:r>
    </w:p>
    <w:p w:rsidR="003E00B6" w:rsidRDefault="003E00B6" w:rsidP="003E00B6">
      <w:pPr>
        <w:pStyle w:val="Ttulo3"/>
        <w:jc w:val="both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                                           PROCURADORIA</w:t>
      </w:r>
    </w:p>
    <w:p w:rsidR="003E00B6" w:rsidRDefault="003E00B6" w:rsidP="003E00B6">
      <w:pPr>
        <w:jc w:val="both"/>
        <w:rPr>
          <w:sz w:val="22"/>
          <w:szCs w:val="22"/>
        </w:rPr>
      </w:pPr>
    </w:p>
    <w:p w:rsidR="003E00B6" w:rsidRDefault="003E00B6" w:rsidP="003E00B6">
      <w:pPr>
        <w:jc w:val="both"/>
        <w:rPr>
          <w:sz w:val="22"/>
          <w:szCs w:val="22"/>
        </w:rPr>
      </w:pPr>
    </w:p>
    <w:p w:rsidR="003E00B6" w:rsidRDefault="003E00B6" w:rsidP="003E00B6">
      <w:pPr>
        <w:jc w:val="both"/>
        <w:rPr>
          <w:sz w:val="22"/>
          <w:szCs w:val="22"/>
        </w:rPr>
      </w:pPr>
    </w:p>
    <w:p w:rsidR="003E00B6" w:rsidRPr="007533F4" w:rsidRDefault="003E00B6" w:rsidP="003E00B6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7533F4">
        <w:rPr>
          <w:rFonts w:ascii="Arial" w:hAnsi="Arial" w:cs="Arial"/>
          <w:b/>
          <w:iCs/>
          <w:sz w:val="20"/>
          <w:szCs w:val="20"/>
        </w:rPr>
        <w:t>PARECER Nº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166/15.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3E00B6" w:rsidRDefault="003E00B6" w:rsidP="003E00B6">
      <w:pPr>
        <w:pStyle w:val="Ttulo1"/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Nº  740/15</w:t>
      </w:r>
      <w:r>
        <w:rPr>
          <w:rFonts w:ascii="Arial" w:hAnsi="Arial" w:cs="Arial"/>
          <w:b/>
          <w:sz w:val="22"/>
          <w:szCs w:val="22"/>
        </w:rPr>
        <w:t>.</w:t>
      </w:r>
    </w:p>
    <w:p w:rsidR="003E00B6" w:rsidRDefault="003E00B6" w:rsidP="003E00B6">
      <w:pPr>
        <w:pStyle w:val="Ttulo1"/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PLL      Nº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64/15.</w:t>
      </w:r>
    </w:p>
    <w:p w:rsidR="003E00B6" w:rsidRDefault="003E00B6" w:rsidP="003E00B6">
      <w:pPr>
        <w:jc w:val="both"/>
        <w:rPr>
          <w:sz w:val="22"/>
          <w:szCs w:val="22"/>
        </w:rPr>
      </w:pPr>
    </w:p>
    <w:p w:rsidR="003E00B6" w:rsidRDefault="003E00B6" w:rsidP="003E00B6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PARECER PRÉVIO</w:t>
      </w:r>
    </w:p>
    <w:p w:rsidR="003E00B6" w:rsidRDefault="003E00B6" w:rsidP="003E00B6">
      <w:pPr>
        <w:ind w:firstLine="1134"/>
        <w:jc w:val="both"/>
        <w:rPr>
          <w:sz w:val="22"/>
          <w:szCs w:val="22"/>
        </w:rPr>
      </w:pPr>
    </w:p>
    <w:p w:rsidR="003E00B6" w:rsidRDefault="003E00B6" w:rsidP="003E00B6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 submetido a exame desta Procuradoria, para parecer prévio, o Projeto de Lei N. 64/15, que denomina Praça Miguel Pereira da Silva, o logradouro público cadastrado denominado como Praça 3028, localizado no Bairro Sarandi.</w:t>
      </w:r>
    </w:p>
    <w:p w:rsidR="003E00B6" w:rsidRDefault="003E00B6" w:rsidP="003E00B6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forma do que dispõe a Carta Magna, compete aos Municípios legislar sobre assuntos de interesse local (artigo 30, inciso I).</w:t>
      </w:r>
    </w:p>
    <w:p w:rsidR="003E00B6" w:rsidRDefault="003E00B6" w:rsidP="003E00B6">
      <w:pPr>
        <w:pStyle w:val="Corpodetexto"/>
        <w:ind w:firstLine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Lei Orgânica, de forma ajustada aos princípios constitucionais, determina a competência do Município para prover tudo quanto concerne a este assunto.</w:t>
      </w:r>
    </w:p>
    <w:p w:rsidR="003E00B6" w:rsidRDefault="003E00B6" w:rsidP="003E00B6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3E00B6" w:rsidRDefault="003E00B6" w:rsidP="003E00B6">
      <w:pPr>
        <w:pStyle w:val="Recuodecorpodetexto"/>
        <w:ind w:firstLine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matéria objeto da proposição, conforme se pode inferir dos preceitos indicados, insere-se no âmbito de competência municipal, inexistindo óbice jurídico à tramitação.</w:t>
      </w:r>
    </w:p>
    <w:p w:rsidR="003E00B6" w:rsidRPr="007D591F" w:rsidRDefault="003E00B6" w:rsidP="003E00B6">
      <w:pPr>
        <w:ind w:firstLine="113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 o parecer, </w:t>
      </w:r>
      <w:r>
        <w:rPr>
          <w:rFonts w:ascii="Arial" w:hAnsi="Arial" w:cs="Arial"/>
          <w:i/>
          <w:sz w:val="22"/>
          <w:szCs w:val="22"/>
        </w:rPr>
        <w:t>sub censura</w:t>
      </w:r>
      <w:r>
        <w:rPr>
          <w:rFonts w:ascii="Arial" w:hAnsi="Arial" w:cs="Arial"/>
          <w:sz w:val="22"/>
          <w:szCs w:val="22"/>
        </w:rPr>
        <w:t>.</w:t>
      </w:r>
    </w:p>
    <w:p w:rsidR="003E00B6" w:rsidRDefault="003E00B6" w:rsidP="003E00B6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3E00B6" w:rsidRDefault="003E00B6" w:rsidP="003E00B6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Diretoria Legislativa para processamento na forma regimental.</w:t>
      </w:r>
    </w:p>
    <w:p w:rsidR="003E00B6" w:rsidRDefault="003E00B6" w:rsidP="003E00B6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06 de abril de 2015.</w:t>
      </w:r>
    </w:p>
    <w:p w:rsidR="003E00B6" w:rsidRDefault="003E00B6" w:rsidP="003E00B6">
      <w:pPr>
        <w:jc w:val="both"/>
        <w:rPr>
          <w:rFonts w:ascii="Arial" w:hAnsi="Arial" w:cs="Arial"/>
        </w:rPr>
      </w:pPr>
    </w:p>
    <w:p w:rsidR="003E00B6" w:rsidRDefault="003E00B6" w:rsidP="003E00B6">
      <w:pPr>
        <w:rPr>
          <w:rFonts w:ascii="Arial" w:hAnsi="Arial" w:cs="Arial"/>
        </w:rPr>
      </w:pPr>
    </w:p>
    <w:p w:rsidR="003E00B6" w:rsidRDefault="003E00B6" w:rsidP="003E00B6">
      <w:pPr>
        <w:rPr>
          <w:rFonts w:ascii="Arial" w:hAnsi="Arial" w:cs="Arial"/>
        </w:rPr>
      </w:pPr>
    </w:p>
    <w:p w:rsidR="003E00B6" w:rsidRDefault="003E00B6" w:rsidP="003E00B6">
      <w:pPr>
        <w:rPr>
          <w:rFonts w:ascii="Arial" w:hAnsi="Arial" w:cs="Arial"/>
        </w:rPr>
      </w:pPr>
    </w:p>
    <w:p w:rsidR="003E00B6" w:rsidRPr="007533F4" w:rsidRDefault="003E00B6" w:rsidP="003E00B6">
      <w:pPr>
        <w:ind w:left="4956" w:firstLine="708"/>
        <w:rPr>
          <w:rFonts w:ascii="Arial" w:hAnsi="Arial" w:cs="Arial"/>
          <w:sz w:val="22"/>
          <w:szCs w:val="22"/>
        </w:rPr>
      </w:pPr>
    </w:p>
    <w:p w:rsidR="003E00B6" w:rsidRPr="007533F4" w:rsidRDefault="003E00B6" w:rsidP="003E00B6">
      <w:pPr>
        <w:rPr>
          <w:rFonts w:ascii="Arial" w:hAnsi="Arial" w:cs="Arial"/>
          <w:sz w:val="22"/>
          <w:szCs w:val="22"/>
        </w:rPr>
      </w:pPr>
      <w:r w:rsidRPr="007533F4">
        <w:rPr>
          <w:rFonts w:ascii="Arial" w:hAnsi="Arial" w:cs="Arial"/>
          <w:sz w:val="22"/>
          <w:szCs w:val="22"/>
        </w:rPr>
        <w:t xml:space="preserve">                 Claudio  Roberto Velasquez</w:t>
      </w:r>
    </w:p>
    <w:p w:rsidR="003E00B6" w:rsidRPr="007533F4" w:rsidRDefault="003E00B6" w:rsidP="003E00B6">
      <w:pPr>
        <w:rPr>
          <w:rFonts w:ascii="Arial" w:hAnsi="Arial" w:cs="Arial"/>
          <w:sz w:val="18"/>
          <w:szCs w:val="18"/>
        </w:rPr>
      </w:pPr>
      <w:r w:rsidRPr="007533F4">
        <w:rPr>
          <w:rFonts w:ascii="Arial" w:hAnsi="Arial" w:cs="Arial"/>
          <w:sz w:val="22"/>
          <w:szCs w:val="22"/>
        </w:rPr>
        <w:t xml:space="preserve">                 </w:t>
      </w:r>
      <w:r w:rsidRPr="007533F4">
        <w:rPr>
          <w:rFonts w:ascii="Arial" w:hAnsi="Arial" w:cs="Arial"/>
          <w:sz w:val="18"/>
          <w:szCs w:val="18"/>
        </w:rPr>
        <w:t>Procurador-Geral–OAB/RS 18.594</w:t>
      </w:r>
      <w:r w:rsidRPr="007533F4">
        <w:rPr>
          <w:rFonts w:ascii="Arial" w:hAnsi="Arial" w:cs="Arial"/>
          <w:sz w:val="18"/>
          <w:szCs w:val="18"/>
        </w:rPr>
        <w:tab/>
      </w:r>
    </w:p>
    <w:p w:rsidR="003E00B6" w:rsidRPr="007533F4" w:rsidRDefault="003E00B6" w:rsidP="003E00B6">
      <w:pPr>
        <w:rPr>
          <w:rFonts w:ascii="Arial" w:hAnsi="Arial" w:cs="Arial"/>
          <w:sz w:val="22"/>
          <w:szCs w:val="22"/>
        </w:rPr>
      </w:pPr>
    </w:p>
    <w:p w:rsidR="003E00B6" w:rsidRPr="007533F4" w:rsidRDefault="003E00B6" w:rsidP="003E00B6">
      <w:pPr>
        <w:rPr>
          <w:rFonts w:ascii="Arial" w:hAnsi="Arial" w:cs="Arial"/>
        </w:rPr>
      </w:pPr>
    </w:p>
    <w:p w:rsidR="003E00B6" w:rsidRPr="007533F4" w:rsidRDefault="003E00B6" w:rsidP="003E00B6">
      <w:pPr>
        <w:rPr>
          <w:rFonts w:ascii="Arial" w:hAnsi="Arial" w:cs="Arial"/>
        </w:rPr>
      </w:pPr>
    </w:p>
    <w:p w:rsidR="003E00B6" w:rsidRDefault="003E00B6" w:rsidP="003E00B6"/>
    <w:p w:rsidR="003E00B6" w:rsidRDefault="003E00B6" w:rsidP="003E00B6"/>
    <w:p w:rsidR="003E00B6" w:rsidRDefault="003E00B6" w:rsidP="003E00B6"/>
    <w:p w:rsidR="004368C2" w:rsidRDefault="004368C2"/>
    <w:sectPr w:rsidR="004368C2" w:rsidSect="00886DED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B6"/>
    <w:rsid w:val="003E00B6"/>
    <w:rsid w:val="0042018C"/>
    <w:rsid w:val="004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2561-1536-4D71-98D8-2120E19B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00B6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3E00B6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00B6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00B6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3E00B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E00B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00B6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E00B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2015-04-06T18:56:00Z</dcterms:created>
  <dcterms:modified xsi:type="dcterms:W3CDTF">2015-04-06T18:59:00Z</dcterms:modified>
</cp:coreProperties>
</file>