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32" w:rsidRDefault="005D3332" w:rsidP="005D3332">
      <w:pPr>
        <w:jc w:val="center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5D3332" w:rsidRDefault="005D3332" w:rsidP="005D3332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5D3332" w:rsidRDefault="005D3332" w:rsidP="005D3332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5D3332" w:rsidRDefault="005D3332" w:rsidP="005D3332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5D3332" w:rsidRDefault="005D3332" w:rsidP="005D3332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 213/15.</w:t>
      </w:r>
    </w:p>
    <w:p w:rsidR="005D3332" w:rsidRDefault="005D3332" w:rsidP="005D3332">
      <w:pPr>
        <w:rPr>
          <w:sz w:val="20"/>
          <w:szCs w:val="20"/>
        </w:rPr>
      </w:pPr>
    </w:p>
    <w:p w:rsidR="005D3332" w:rsidRDefault="005D3332" w:rsidP="005D3332">
      <w:pPr>
        <w:rPr>
          <w:rFonts w:ascii="Arial" w:hAnsi="Arial" w:cs="Arial"/>
          <w:iCs/>
          <w:sz w:val="20"/>
          <w:szCs w:val="20"/>
        </w:rPr>
      </w:pPr>
    </w:p>
    <w:p w:rsidR="005D3332" w:rsidRDefault="005D3332" w:rsidP="005D3332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</w:t>
      </w:r>
      <w:r w:rsidR="0084456E">
        <w:rPr>
          <w:rFonts w:ascii="Arial" w:hAnsi="Arial" w:cs="Arial"/>
          <w:b/>
          <w:sz w:val="20"/>
        </w:rPr>
        <w:t>Nº 856</w:t>
      </w:r>
      <w:r>
        <w:rPr>
          <w:rFonts w:ascii="Arial" w:hAnsi="Arial" w:cs="Arial"/>
          <w:b/>
          <w:sz w:val="20"/>
        </w:rPr>
        <w:t>/15.</w:t>
      </w:r>
    </w:p>
    <w:p w:rsidR="005D3332" w:rsidRDefault="005D3332" w:rsidP="005D3332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76/15.</w:t>
      </w:r>
    </w:p>
    <w:p w:rsidR="005D3332" w:rsidRDefault="005D3332" w:rsidP="005D3332">
      <w:pPr>
        <w:rPr>
          <w:sz w:val="20"/>
          <w:szCs w:val="20"/>
        </w:rPr>
      </w:pPr>
    </w:p>
    <w:p w:rsidR="005D3332" w:rsidRDefault="005D3332" w:rsidP="005D3332">
      <w:pPr>
        <w:ind w:firstLine="1134"/>
        <w:rPr>
          <w:sz w:val="20"/>
          <w:szCs w:val="20"/>
        </w:rPr>
      </w:pPr>
    </w:p>
    <w:p w:rsidR="005D3332" w:rsidRDefault="005D3332" w:rsidP="005D333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Francisco Munhoz Dias, Rua Jurema Janete Santiago, Rua Elci Fernandes, Rua Isabel Vacari, Rua </w:t>
      </w:r>
      <w:r w:rsidR="0084456E">
        <w:rPr>
          <w:rFonts w:ascii="Arial" w:hAnsi="Arial" w:cs="Arial"/>
          <w:sz w:val="20"/>
          <w:szCs w:val="20"/>
        </w:rPr>
        <w:t>Brasília</w:t>
      </w:r>
      <w:r>
        <w:rPr>
          <w:rFonts w:ascii="Arial" w:hAnsi="Arial" w:cs="Arial"/>
          <w:sz w:val="20"/>
          <w:szCs w:val="20"/>
        </w:rPr>
        <w:t xml:space="preserve"> Luz de Souza, Rua Sueli Maria dos Santos, Rua Ernestor </w:t>
      </w:r>
      <w:r w:rsidR="00D43B62">
        <w:rPr>
          <w:rFonts w:ascii="Arial" w:hAnsi="Arial" w:cs="Arial"/>
          <w:sz w:val="20"/>
          <w:szCs w:val="20"/>
        </w:rPr>
        <w:t>Moraes</w:t>
      </w:r>
      <w:r>
        <w:rPr>
          <w:rFonts w:ascii="Arial" w:hAnsi="Arial" w:cs="Arial"/>
          <w:sz w:val="20"/>
          <w:szCs w:val="20"/>
        </w:rPr>
        <w:t xml:space="preserve">, Rua Leopoldina de Oliveira, Rua Santa Rosário Gonçalves, Rua Eva Terezinha dos Santos e Rua Rosangela Brufatto Luz os logradouros não cadastrados conhecidos respectivamente, como Rua Três Mil Cento e Quarenta e Nove, Rua Três Mil Cento e Cinquenta, Rua Três Mil Cento e Cinquenta e Um, Rua Três Mil Cento e Cinquenta e Dois, Rua Três Mil Cento e Cinquenta e Três, Rua Três Mil Cento e Cinquenta e Quatro, Rua Três Mil Cento e Cinquenta e Cinco, Rua Três Mil Cento e Cinquenta e Seis, Rua Três Mil Cento e Cinquenta e Sete, Rua Três Mil Cento e Cinquenta e Oito, Rua Três Mil Cento e Cinquenta e Nove e Rua Três Mil Cento e Sessenta. </w:t>
      </w:r>
    </w:p>
    <w:p w:rsidR="005D3332" w:rsidRDefault="005D3332" w:rsidP="005D333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5D3332" w:rsidRDefault="005D3332" w:rsidP="005D3332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5D3332" w:rsidRDefault="005D3332" w:rsidP="005D333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5D3332" w:rsidRDefault="005D3332" w:rsidP="005D3332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5D3332" w:rsidRDefault="005D3332" w:rsidP="005D3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D3332" w:rsidRDefault="005D3332" w:rsidP="005D3332">
      <w:pPr>
        <w:rPr>
          <w:rFonts w:ascii="Arial" w:hAnsi="Arial" w:cs="Arial"/>
          <w:sz w:val="20"/>
          <w:szCs w:val="20"/>
        </w:rPr>
      </w:pPr>
    </w:p>
    <w:p w:rsidR="005D3332" w:rsidRDefault="005D3332" w:rsidP="005D3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5D3332" w:rsidRDefault="005D3332" w:rsidP="005D333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27 de abril de 2015.</w:t>
      </w:r>
    </w:p>
    <w:p w:rsidR="005D3332" w:rsidRDefault="005D3332" w:rsidP="005D3332">
      <w:pPr>
        <w:rPr>
          <w:rFonts w:ascii="Arial" w:hAnsi="Arial" w:cs="Arial"/>
          <w:sz w:val="20"/>
          <w:szCs w:val="20"/>
        </w:rPr>
      </w:pPr>
    </w:p>
    <w:p w:rsidR="005D3332" w:rsidRDefault="005D3332" w:rsidP="005D3332">
      <w:pPr>
        <w:rPr>
          <w:rFonts w:ascii="Arial" w:hAnsi="Arial" w:cs="Arial"/>
          <w:sz w:val="20"/>
          <w:szCs w:val="20"/>
        </w:rPr>
      </w:pPr>
    </w:p>
    <w:p w:rsidR="005D3332" w:rsidRDefault="005D3332" w:rsidP="005D3332">
      <w:pPr>
        <w:rPr>
          <w:rFonts w:ascii="Arial" w:hAnsi="Arial" w:cs="Arial"/>
          <w:sz w:val="20"/>
          <w:szCs w:val="20"/>
        </w:rPr>
      </w:pPr>
    </w:p>
    <w:p w:rsidR="005D3332" w:rsidRDefault="005D3332" w:rsidP="005D3332">
      <w:pPr>
        <w:rPr>
          <w:rFonts w:ascii="Arial" w:hAnsi="Arial" w:cs="Arial"/>
          <w:sz w:val="20"/>
          <w:szCs w:val="20"/>
        </w:rPr>
      </w:pPr>
    </w:p>
    <w:p w:rsidR="005D3332" w:rsidRDefault="005D3332" w:rsidP="005D3332">
      <w:pPr>
        <w:ind w:left="4956"/>
        <w:rPr>
          <w:rFonts w:ascii="Arial" w:hAnsi="Arial" w:cs="Arial"/>
          <w:b/>
          <w:sz w:val="20"/>
          <w:szCs w:val="20"/>
        </w:rPr>
      </w:pPr>
    </w:p>
    <w:p w:rsidR="005D3332" w:rsidRDefault="005D3332" w:rsidP="005D3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5D3332" w:rsidRDefault="005D3332" w:rsidP="005D33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D3332" w:rsidRDefault="005D3332" w:rsidP="005D3332">
      <w:pPr>
        <w:rPr>
          <w:rFonts w:ascii="Arial" w:hAnsi="Arial" w:cs="Arial"/>
          <w:sz w:val="20"/>
          <w:szCs w:val="20"/>
        </w:rPr>
      </w:pPr>
    </w:p>
    <w:p w:rsidR="005D3332" w:rsidRDefault="005D3332" w:rsidP="005D3332">
      <w:pPr>
        <w:rPr>
          <w:rFonts w:ascii="Arial" w:hAnsi="Arial" w:cs="Arial"/>
          <w:b/>
          <w:sz w:val="20"/>
          <w:szCs w:val="20"/>
        </w:rPr>
      </w:pPr>
    </w:p>
    <w:p w:rsidR="005D3332" w:rsidRDefault="005D3332" w:rsidP="005D3332">
      <w:pPr>
        <w:rPr>
          <w:rFonts w:ascii="Arial" w:hAnsi="Arial" w:cs="Arial"/>
          <w:b/>
          <w:sz w:val="20"/>
          <w:szCs w:val="20"/>
        </w:rPr>
      </w:pPr>
    </w:p>
    <w:p w:rsidR="005D3332" w:rsidRDefault="005D3332" w:rsidP="005D3332">
      <w:pPr>
        <w:rPr>
          <w:sz w:val="20"/>
          <w:szCs w:val="20"/>
        </w:rPr>
      </w:pPr>
    </w:p>
    <w:p w:rsidR="005D3332" w:rsidRDefault="005D3332" w:rsidP="005D3332">
      <w:pPr>
        <w:rPr>
          <w:sz w:val="20"/>
          <w:szCs w:val="20"/>
        </w:rPr>
      </w:pPr>
    </w:p>
    <w:p w:rsidR="005D3332" w:rsidRDefault="005D3332" w:rsidP="005D3332"/>
    <w:p w:rsidR="005D3332" w:rsidRDefault="005D3332" w:rsidP="005D3332"/>
    <w:p w:rsidR="005D3332" w:rsidRDefault="005D3332" w:rsidP="005D3332"/>
    <w:p w:rsidR="005D3332" w:rsidRDefault="005D3332" w:rsidP="005D3332"/>
    <w:p w:rsidR="005D3332" w:rsidRDefault="005D3332" w:rsidP="005D3332"/>
    <w:p w:rsidR="005D3332" w:rsidRDefault="005D3332" w:rsidP="005D3332"/>
    <w:p w:rsidR="005D3332" w:rsidRDefault="005D3332" w:rsidP="005D3332"/>
    <w:p w:rsidR="0054548C" w:rsidRDefault="0054548C"/>
    <w:sectPr w:rsidR="00545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2"/>
    <w:rsid w:val="0054548C"/>
    <w:rsid w:val="005D3332"/>
    <w:rsid w:val="0084456E"/>
    <w:rsid w:val="00D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6D890-5A5E-4E83-B535-EE11AE21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3332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D3332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3332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D3332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D333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D333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D3332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D333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B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B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2015-04-27T19:24:00Z</cp:lastPrinted>
  <dcterms:created xsi:type="dcterms:W3CDTF">2015-04-27T19:09:00Z</dcterms:created>
  <dcterms:modified xsi:type="dcterms:W3CDTF">2015-04-27T19:24:00Z</dcterms:modified>
</cp:coreProperties>
</file>