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83" w:rsidRPr="00A775B3" w:rsidRDefault="00D77E83" w:rsidP="00D77E83">
      <w:pPr>
        <w:rPr>
          <w:rFonts w:ascii="Arial" w:hAnsi="Arial" w:cs="Arial"/>
          <w:b/>
          <w:iCs/>
          <w:sz w:val="20"/>
          <w:szCs w:val="20"/>
        </w:rPr>
      </w:pPr>
      <w:r w:rsidRPr="00A775B3">
        <w:rPr>
          <w:rFonts w:ascii="Arial" w:hAnsi="Arial" w:cs="Arial"/>
          <w:b/>
          <w:iCs/>
          <w:sz w:val="20"/>
          <w:szCs w:val="20"/>
        </w:rPr>
        <w:t xml:space="preserve">                     CAMARA MUNICIPAL DE PORTO ALEGRE</w:t>
      </w:r>
    </w:p>
    <w:p w:rsidR="00D77E83" w:rsidRPr="00A775B3" w:rsidRDefault="00D77E83" w:rsidP="00D77E83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 w:rsidRPr="00A775B3"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D77E83" w:rsidRPr="00A775B3" w:rsidRDefault="00D77E83" w:rsidP="00D77E83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D77E83" w:rsidRPr="00A775B3" w:rsidRDefault="00D77E83" w:rsidP="00D77E83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D77E83" w:rsidRPr="00A775B3" w:rsidRDefault="00D77E83" w:rsidP="00D77E83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>
        <w:rPr>
          <w:rFonts w:ascii="Arial" w:hAnsi="Arial" w:cs="Arial"/>
          <w:i w:val="0"/>
          <w:sz w:val="20"/>
        </w:rPr>
        <w:t>243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/15.</w:t>
      </w:r>
    </w:p>
    <w:p w:rsidR="00D77E83" w:rsidRPr="00A775B3" w:rsidRDefault="00D77E83" w:rsidP="00D77E83">
      <w:pPr>
        <w:rPr>
          <w:sz w:val="20"/>
          <w:szCs w:val="20"/>
        </w:rPr>
      </w:pPr>
    </w:p>
    <w:p w:rsidR="00D77E83" w:rsidRPr="00A775B3" w:rsidRDefault="00D77E83" w:rsidP="00D77E83">
      <w:pPr>
        <w:rPr>
          <w:rFonts w:ascii="Arial" w:hAnsi="Arial" w:cs="Arial"/>
          <w:iCs/>
          <w:sz w:val="20"/>
          <w:szCs w:val="20"/>
        </w:rPr>
      </w:pPr>
    </w:p>
    <w:p w:rsidR="00D77E83" w:rsidRPr="00A775B3" w:rsidRDefault="00D77E83" w:rsidP="00D77E83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PROCESSO </w:t>
      </w:r>
      <w:r w:rsidR="007B54D9">
        <w:rPr>
          <w:rFonts w:ascii="Arial" w:hAnsi="Arial" w:cs="Arial"/>
          <w:b/>
          <w:sz w:val="20"/>
        </w:rPr>
        <w:t>Nº 1015</w:t>
      </w:r>
      <w:r>
        <w:rPr>
          <w:rFonts w:ascii="Arial" w:hAnsi="Arial" w:cs="Arial"/>
          <w:b/>
          <w:sz w:val="20"/>
        </w:rPr>
        <w:t>/15.</w:t>
      </w:r>
    </w:p>
    <w:p w:rsidR="00D77E83" w:rsidRPr="00A775B3" w:rsidRDefault="00D77E83" w:rsidP="00D77E83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84/15.</w:t>
      </w:r>
    </w:p>
    <w:p w:rsidR="00D77E83" w:rsidRPr="00A775B3" w:rsidRDefault="00D77E83" w:rsidP="00D77E83">
      <w:pPr>
        <w:rPr>
          <w:sz w:val="20"/>
          <w:szCs w:val="20"/>
        </w:rPr>
      </w:pPr>
    </w:p>
    <w:p w:rsidR="00D77E83" w:rsidRPr="00A775B3" w:rsidRDefault="00D77E83" w:rsidP="00D77E83">
      <w:pPr>
        <w:ind w:firstLine="1134"/>
        <w:rPr>
          <w:sz w:val="20"/>
          <w:szCs w:val="20"/>
        </w:rPr>
      </w:pPr>
    </w:p>
    <w:p w:rsidR="00D77E83" w:rsidRPr="00A775B3" w:rsidRDefault="00D77E83" w:rsidP="00D77E8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775B3">
        <w:rPr>
          <w:rFonts w:ascii="Arial" w:hAnsi="Arial" w:cs="Arial"/>
          <w:sz w:val="20"/>
          <w:szCs w:val="20"/>
        </w:rPr>
        <w:t>É submetido a exame desta Procuradoria, para parecer prévio, o Projeto de Lei</w:t>
      </w:r>
      <w:r>
        <w:rPr>
          <w:rFonts w:ascii="Arial" w:hAnsi="Arial" w:cs="Arial"/>
          <w:sz w:val="20"/>
          <w:szCs w:val="20"/>
        </w:rPr>
        <w:t xml:space="preserve"> do Legislativo em epígrafe,</w:t>
      </w:r>
      <w:r w:rsidRPr="00A775B3">
        <w:rPr>
          <w:rFonts w:ascii="Arial" w:hAnsi="Arial" w:cs="Arial"/>
          <w:sz w:val="20"/>
          <w:szCs w:val="20"/>
        </w:rPr>
        <w:t xml:space="preserve"> que denomina </w:t>
      </w:r>
      <w:r>
        <w:rPr>
          <w:rFonts w:ascii="Arial" w:hAnsi="Arial" w:cs="Arial"/>
          <w:sz w:val="20"/>
          <w:szCs w:val="20"/>
        </w:rPr>
        <w:t xml:space="preserve">Rua Celso Dias Dihl, o logradouro público cadastrado conhecido como Rua 8830 – loteamento residencial Parque do Rincão -, localizado no Bairro Restinga, no trecho que inicia no limite sudoeste do loteamento Parque do Rincão e termina 20m após a Rua Diretriz 7124. </w:t>
      </w:r>
    </w:p>
    <w:p w:rsidR="00D77E83" w:rsidRPr="00A775B3" w:rsidRDefault="00D77E83" w:rsidP="00D77E8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775B3"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D77E83" w:rsidRPr="00A775B3" w:rsidRDefault="00D77E83" w:rsidP="00D77E83">
      <w:pPr>
        <w:pStyle w:val="Corpodetexto"/>
        <w:ind w:firstLine="1134"/>
        <w:rPr>
          <w:rFonts w:cs="Arial"/>
          <w:sz w:val="20"/>
        </w:rPr>
      </w:pPr>
      <w:r w:rsidRPr="00A775B3">
        <w:rPr>
          <w:rFonts w:cs="Arial"/>
          <w:sz w:val="20"/>
        </w:rPr>
        <w:t>A Lei Orgânica, de forma ajustada aos princípios constitucionais, determina a competência do Município pa</w:t>
      </w:r>
      <w:r>
        <w:rPr>
          <w:rFonts w:cs="Arial"/>
          <w:sz w:val="20"/>
        </w:rPr>
        <w:t>ra prover tudo quanto concerne a</w:t>
      </w:r>
      <w:r w:rsidRPr="00A775B3">
        <w:rPr>
          <w:rFonts w:cs="Arial"/>
          <w:sz w:val="20"/>
        </w:rPr>
        <w:t xml:space="preserve"> este assunto.</w:t>
      </w:r>
    </w:p>
    <w:p w:rsidR="00D77E83" w:rsidRPr="00A775B3" w:rsidRDefault="00D77E83" w:rsidP="00D77E8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775B3"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D77E83" w:rsidRPr="00A775B3" w:rsidRDefault="00D77E83" w:rsidP="00D77E83">
      <w:pPr>
        <w:pStyle w:val="Recuodecorpodetexto"/>
        <w:ind w:firstLine="708"/>
        <w:rPr>
          <w:rFonts w:cs="Arial"/>
          <w:sz w:val="20"/>
        </w:rPr>
      </w:pPr>
      <w:r w:rsidRPr="00A775B3"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D77E83" w:rsidRPr="00A775B3" w:rsidRDefault="00D77E83" w:rsidP="00D77E83">
      <w:pPr>
        <w:ind w:firstLine="708"/>
        <w:rPr>
          <w:rFonts w:ascii="Arial" w:hAnsi="Arial" w:cs="Arial"/>
          <w:sz w:val="20"/>
          <w:szCs w:val="20"/>
        </w:rPr>
      </w:pPr>
      <w:r w:rsidRPr="00A775B3">
        <w:rPr>
          <w:rFonts w:ascii="Arial" w:hAnsi="Arial" w:cs="Arial"/>
          <w:sz w:val="20"/>
          <w:szCs w:val="20"/>
        </w:rPr>
        <w:t xml:space="preserve">É o parecer, </w:t>
      </w:r>
      <w:r w:rsidRPr="00A775B3">
        <w:rPr>
          <w:rFonts w:ascii="Arial" w:hAnsi="Arial" w:cs="Arial"/>
          <w:i/>
          <w:sz w:val="20"/>
          <w:szCs w:val="20"/>
        </w:rPr>
        <w:t>sub censura</w:t>
      </w:r>
      <w:r w:rsidRPr="00A775B3">
        <w:rPr>
          <w:rFonts w:ascii="Arial" w:hAnsi="Arial" w:cs="Arial"/>
          <w:sz w:val="20"/>
          <w:szCs w:val="20"/>
        </w:rPr>
        <w:t>.</w:t>
      </w:r>
    </w:p>
    <w:p w:rsidR="00D77E83" w:rsidRPr="00A775B3" w:rsidRDefault="00D77E83" w:rsidP="00D77E83">
      <w:pPr>
        <w:rPr>
          <w:rFonts w:ascii="Arial" w:hAnsi="Arial" w:cs="Arial"/>
          <w:sz w:val="20"/>
          <w:szCs w:val="20"/>
        </w:rPr>
      </w:pPr>
    </w:p>
    <w:p w:rsidR="00D77E83" w:rsidRPr="00A775B3" w:rsidRDefault="00D77E83" w:rsidP="00D77E83">
      <w:pPr>
        <w:ind w:firstLine="708"/>
        <w:rPr>
          <w:rFonts w:ascii="Arial" w:hAnsi="Arial" w:cs="Arial"/>
          <w:sz w:val="20"/>
          <w:szCs w:val="20"/>
        </w:rPr>
      </w:pPr>
      <w:r w:rsidRPr="00A775B3"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D77E83" w:rsidRPr="00A775B3" w:rsidRDefault="00D77E83" w:rsidP="00D77E83">
      <w:pPr>
        <w:ind w:firstLine="708"/>
        <w:rPr>
          <w:rFonts w:ascii="Arial" w:hAnsi="Arial" w:cs="Arial"/>
          <w:sz w:val="20"/>
          <w:szCs w:val="20"/>
        </w:rPr>
      </w:pPr>
      <w:r w:rsidRPr="00A775B3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13 de maio de 2015</w:t>
      </w:r>
      <w:r w:rsidRPr="00A775B3">
        <w:rPr>
          <w:rFonts w:ascii="Arial" w:hAnsi="Arial" w:cs="Arial"/>
          <w:sz w:val="20"/>
          <w:szCs w:val="20"/>
        </w:rPr>
        <w:t>.</w:t>
      </w:r>
    </w:p>
    <w:p w:rsidR="00D77E83" w:rsidRPr="00A775B3" w:rsidRDefault="00D77E83" w:rsidP="00D77E83">
      <w:pPr>
        <w:rPr>
          <w:rFonts w:ascii="Arial" w:hAnsi="Arial" w:cs="Arial"/>
          <w:sz w:val="20"/>
          <w:szCs w:val="20"/>
        </w:rPr>
      </w:pPr>
    </w:p>
    <w:p w:rsidR="00D77E83" w:rsidRPr="00A775B3" w:rsidRDefault="00D77E83" w:rsidP="00D77E83">
      <w:pPr>
        <w:rPr>
          <w:rFonts w:ascii="Arial" w:hAnsi="Arial" w:cs="Arial"/>
          <w:sz w:val="20"/>
          <w:szCs w:val="20"/>
        </w:rPr>
      </w:pPr>
    </w:p>
    <w:p w:rsidR="00D77E83" w:rsidRPr="00A775B3" w:rsidRDefault="00D77E83" w:rsidP="00D77E83">
      <w:pPr>
        <w:rPr>
          <w:rFonts w:ascii="Arial" w:hAnsi="Arial" w:cs="Arial"/>
          <w:sz w:val="20"/>
          <w:szCs w:val="20"/>
        </w:rPr>
      </w:pPr>
    </w:p>
    <w:p w:rsidR="00D77E83" w:rsidRPr="00A775B3" w:rsidRDefault="00D77E83" w:rsidP="00D77E83">
      <w:pPr>
        <w:rPr>
          <w:rFonts w:ascii="Arial" w:hAnsi="Arial" w:cs="Arial"/>
          <w:sz w:val="20"/>
          <w:szCs w:val="20"/>
        </w:rPr>
      </w:pPr>
    </w:p>
    <w:p w:rsidR="00D77E83" w:rsidRPr="00A775B3" w:rsidRDefault="00D77E83" w:rsidP="00D77E83">
      <w:pPr>
        <w:ind w:left="4956"/>
        <w:rPr>
          <w:rFonts w:ascii="Arial" w:hAnsi="Arial" w:cs="Arial"/>
          <w:b/>
          <w:sz w:val="20"/>
          <w:szCs w:val="20"/>
        </w:rPr>
      </w:pPr>
    </w:p>
    <w:p w:rsidR="00D77E83" w:rsidRPr="00A775B3" w:rsidRDefault="00D77E83" w:rsidP="00D77E83">
      <w:pPr>
        <w:rPr>
          <w:rFonts w:ascii="Arial" w:hAnsi="Arial" w:cs="Arial"/>
          <w:sz w:val="20"/>
          <w:szCs w:val="20"/>
        </w:rPr>
      </w:pPr>
      <w:r w:rsidRPr="00A775B3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A775B3">
        <w:rPr>
          <w:rFonts w:ascii="Arial" w:hAnsi="Arial" w:cs="Arial"/>
          <w:sz w:val="20"/>
          <w:szCs w:val="20"/>
        </w:rPr>
        <w:t xml:space="preserve">  Claudio Roberto Velasquez</w:t>
      </w:r>
    </w:p>
    <w:p w:rsidR="00D77E83" w:rsidRPr="00A775B3" w:rsidRDefault="00D77E83" w:rsidP="00D77E83">
      <w:pPr>
        <w:rPr>
          <w:rFonts w:ascii="Arial" w:hAnsi="Arial" w:cs="Arial"/>
          <w:sz w:val="16"/>
          <w:szCs w:val="16"/>
        </w:rPr>
      </w:pPr>
      <w:r w:rsidRPr="00A775B3"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A775B3">
        <w:rPr>
          <w:rFonts w:ascii="Arial" w:hAnsi="Arial" w:cs="Arial"/>
          <w:sz w:val="16"/>
          <w:szCs w:val="16"/>
        </w:rPr>
        <w:t xml:space="preserve"> Procurador-Geral–OAB/RS 18.594</w:t>
      </w:r>
      <w:r w:rsidRPr="00A775B3">
        <w:rPr>
          <w:rFonts w:ascii="Arial" w:hAnsi="Arial" w:cs="Arial"/>
          <w:sz w:val="16"/>
          <w:szCs w:val="16"/>
        </w:rPr>
        <w:tab/>
      </w:r>
    </w:p>
    <w:p w:rsidR="00D77E83" w:rsidRPr="00A775B3" w:rsidRDefault="00D77E83" w:rsidP="00D77E83">
      <w:pPr>
        <w:rPr>
          <w:rFonts w:ascii="Arial" w:hAnsi="Arial" w:cs="Arial"/>
          <w:sz w:val="20"/>
          <w:szCs w:val="20"/>
        </w:rPr>
      </w:pPr>
    </w:p>
    <w:p w:rsidR="00D77E83" w:rsidRPr="00A775B3" w:rsidRDefault="00D77E83" w:rsidP="00D77E83">
      <w:pPr>
        <w:rPr>
          <w:rFonts w:ascii="Arial" w:hAnsi="Arial" w:cs="Arial"/>
          <w:b/>
          <w:sz w:val="20"/>
          <w:szCs w:val="20"/>
        </w:rPr>
      </w:pPr>
    </w:p>
    <w:p w:rsidR="00D77E83" w:rsidRPr="00A775B3" w:rsidRDefault="00D77E83" w:rsidP="00D77E83">
      <w:pPr>
        <w:rPr>
          <w:rFonts w:ascii="Arial" w:hAnsi="Arial" w:cs="Arial"/>
          <w:b/>
          <w:sz w:val="20"/>
          <w:szCs w:val="20"/>
        </w:rPr>
      </w:pPr>
    </w:p>
    <w:p w:rsidR="00D77E83" w:rsidRPr="00A775B3" w:rsidRDefault="00D77E83" w:rsidP="00D77E83">
      <w:pPr>
        <w:rPr>
          <w:sz w:val="20"/>
          <w:szCs w:val="20"/>
        </w:rPr>
      </w:pPr>
    </w:p>
    <w:p w:rsidR="00D77E83" w:rsidRPr="00A775B3" w:rsidRDefault="00D77E83" w:rsidP="00D77E83">
      <w:pPr>
        <w:rPr>
          <w:sz w:val="20"/>
          <w:szCs w:val="20"/>
        </w:rPr>
      </w:pPr>
    </w:p>
    <w:p w:rsidR="00D77E83" w:rsidRDefault="00D77E83" w:rsidP="00D77E83"/>
    <w:p w:rsidR="00D77E83" w:rsidRDefault="00D77E83" w:rsidP="00D77E83"/>
    <w:p w:rsidR="00D77E83" w:rsidRDefault="00D77E83" w:rsidP="00D77E83"/>
    <w:p w:rsidR="00D77E83" w:rsidRDefault="00D77E83" w:rsidP="00D77E83"/>
    <w:p w:rsidR="00D77E83" w:rsidRDefault="00D77E83" w:rsidP="00D77E83"/>
    <w:p w:rsidR="00D77E83" w:rsidRDefault="00D77E83" w:rsidP="00D77E83"/>
    <w:p w:rsidR="00D77E83" w:rsidRDefault="00D77E83" w:rsidP="00D77E83"/>
    <w:p w:rsidR="00DC0F19" w:rsidRDefault="00DC0F19"/>
    <w:sectPr w:rsidR="00DC0F19">
      <w:pgSz w:w="11907" w:h="16840" w:code="9"/>
      <w:pgMar w:top="1440" w:right="1134" w:bottom="1134" w:left="1985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83"/>
    <w:rsid w:val="007B54D9"/>
    <w:rsid w:val="00D77E83"/>
    <w:rsid w:val="00DC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95F06-796A-40E3-9A52-9C3E7C6B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77E83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qFormat/>
    <w:rsid w:val="00D77E83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77E83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77E83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77E83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77E8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77E83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D77E83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54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4D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cp:lastPrinted>2015-05-13T19:07:00Z</cp:lastPrinted>
  <dcterms:created xsi:type="dcterms:W3CDTF">2015-05-13T19:04:00Z</dcterms:created>
  <dcterms:modified xsi:type="dcterms:W3CDTF">2015-05-13T19:07:00Z</dcterms:modified>
</cp:coreProperties>
</file>