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01" w:rsidRDefault="00DE6201" w:rsidP="00DE6201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E6201" w:rsidRDefault="00DE6201" w:rsidP="00DE6201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E6201" w:rsidRDefault="00DE6201" w:rsidP="00DE6201">
      <w:pPr>
        <w:ind w:left="4536"/>
        <w:rPr>
          <w:rFonts w:ascii="Arial" w:hAnsi="Arial" w:cs="Arial"/>
          <w:b/>
          <w:sz w:val="20"/>
          <w:szCs w:val="20"/>
        </w:rPr>
      </w:pPr>
    </w:p>
    <w:p w:rsidR="00DE6201" w:rsidRDefault="00DE6201" w:rsidP="00DE620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210D41">
        <w:rPr>
          <w:rFonts w:ascii="Arial" w:hAnsi="Arial" w:cs="Arial"/>
          <w:sz w:val="20"/>
        </w:rPr>
        <w:t>725</w:t>
      </w:r>
      <w:r>
        <w:rPr>
          <w:rFonts w:ascii="Arial" w:hAnsi="Arial" w:cs="Arial"/>
          <w:sz w:val="20"/>
        </w:rPr>
        <w:t>/17.</w:t>
      </w:r>
    </w:p>
    <w:p w:rsidR="00DE6201" w:rsidRDefault="00DE6201" w:rsidP="00DE6201">
      <w:pPr>
        <w:ind w:left="4536"/>
        <w:rPr>
          <w:rFonts w:ascii="Arial" w:hAnsi="Arial" w:cs="Arial"/>
          <w:b/>
          <w:sz w:val="20"/>
          <w:szCs w:val="20"/>
        </w:rPr>
      </w:pPr>
    </w:p>
    <w:p w:rsidR="00DE6201" w:rsidRDefault="00DE6201" w:rsidP="00DE620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1034/15.</w:t>
      </w:r>
    </w:p>
    <w:p w:rsidR="00DE6201" w:rsidRDefault="00DE6201" w:rsidP="00DE620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88/15.</w:t>
      </w:r>
    </w:p>
    <w:p w:rsidR="00DE6201" w:rsidRDefault="00DE6201" w:rsidP="00DE6201"/>
    <w:p w:rsidR="00DE6201" w:rsidRDefault="00DE6201" w:rsidP="00DE6201"/>
    <w:p w:rsidR="00DE6201" w:rsidRDefault="00DE6201" w:rsidP="00597208">
      <w:pPr>
        <w:jc w:val="both"/>
        <w:rPr>
          <w:rFonts w:ascii="Arial" w:hAnsi="Arial" w:cs="Arial"/>
          <w:b/>
          <w:sz w:val="28"/>
        </w:rPr>
      </w:pPr>
    </w:p>
    <w:p w:rsidR="00DE6201" w:rsidRDefault="00DE6201" w:rsidP="005972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dispõe sobre a venda </w:t>
      </w:r>
      <w:r w:rsidR="00DE285B">
        <w:rPr>
          <w:rFonts w:ascii="Arial" w:hAnsi="Arial" w:cs="Arial"/>
          <w:sz w:val="20"/>
          <w:szCs w:val="20"/>
        </w:rPr>
        <w:t>e consumo</w:t>
      </w:r>
      <w:r>
        <w:rPr>
          <w:rFonts w:ascii="Arial" w:hAnsi="Arial" w:cs="Arial"/>
          <w:sz w:val="20"/>
          <w:szCs w:val="20"/>
        </w:rPr>
        <w:t xml:space="preserve"> de bebidas alcoólicas em locais que especifica.</w:t>
      </w:r>
    </w:p>
    <w:p w:rsidR="00DE6201" w:rsidRDefault="00DE6201" w:rsidP="005972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o artigo 30, inciso I e II, da Constituição Federal, compete aos Municípios legislar sobre assuntos de interesse local e suplementar a legislação federal, no que couber.</w:t>
      </w:r>
    </w:p>
    <w:p w:rsidR="00DE6201" w:rsidRDefault="00DE6201" w:rsidP="005972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DE6201" w:rsidRDefault="00DE6201" w:rsidP="005972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8.078/90, ao dispor sobre a proteção do consumidor, atribui aos Municípios, em caráter concorrente com a União e o Estado, nas respectivas áreas de atuação administrativa, competência para fiscalizar, controlar e baixar normas relativas à distribuição e consumo de produtos e serviços (art. 55, § 1º).</w:t>
      </w:r>
    </w:p>
    <w:p w:rsidR="00DE6201" w:rsidRDefault="00DE6201" w:rsidP="005972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determina, também, a competência do Município para prover tudo que concerne ao interesse local, para licenciar para funcionamentos os estabelecimentos comerciais, industriais e de serviços e similares, e para ordenar as atividades urbanas (arts. 8º, inciso IV, E 9º, incisos II e XII).</w:t>
      </w:r>
    </w:p>
    <w:p w:rsidR="00DE6201" w:rsidRDefault="00DE6201" w:rsidP="00597208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</w:t>
      </w:r>
      <w:r w:rsidR="00893D0F">
        <w:rPr>
          <w:rFonts w:ascii="Arial" w:hAnsi="Arial"/>
          <w:sz w:val="20"/>
          <w:szCs w:val="20"/>
        </w:rPr>
        <w:t>ndo óbice jurídico à tramitação, sob tal enfoque.</w:t>
      </w:r>
    </w:p>
    <w:p w:rsidR="00893D0F" w:rsidRDefault="00893D0F" w:rsidP="00597208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Ressalvo, contudo: a) o conteúdo normativo do artigo 6º da mesma, ao atribuir atividade para autoridades </w:t>
      </w:r>
      <w:r w:rsidR="00DE285B">
        <w:rPr>
          <w:rFonts w:ascii="Arial" w:hAnsi="Arial"/>
          <w:sz w:val="20"/>
          <w:szCs w:val="20"/>
        </w:rPr>
        <w:t>policiais, vênia</w:t>
      </w:r>
      <w:r>
        <w:rPr>
          <w:rFonts w:ascii="Arial" w:hAnsi="Arial"/>
          <w:sz w:val="20"/>
          <w:szCs w:val="20"/>
        </w:rPr>
        <w:t xml:space="preserve"> concedida, extrapola do âmbito de competência municipal, atraindo violação </w:t>
      </w:r>
      <w:r w:rsidR="00DE285B">
        <w:rPr>
          <w:rFonts w:ascii="Arial" w:hAnsi="Arial"/>
          <w:sz w:val="20"/>
          <w:szCs w:val="20"/>
        </w:rPr>
        <w:t>aos preceitos</w:t>
      </w:r>
      <w:r>
        <w:rPr>
          <w:rFonts w:ascii="Arial" w:hAnsi="Arial"/>
          <w:sz w:val="20"/>
          <w:szCs w:val="20"/>
        </w:rPr>
        <w:t xml:space="preserve"> dos artigos 30, inciso I, e 144 da Constituição da República; b) o disposto no seu artigo 7º, com a devida vênia, incide em malferimento ao princípio a independência dos poderes (CF, art. 2º).</w:t>
      </w:r>
    </w:p>
    <w:p w:rsidR="00893D0F" w:rsidRDefault="00893D0F" w:rsidP="00597208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Sinalo, finalmente, que o projeto de lei não delimita o alcance da proibição –</w:t>
      </w:r>
      <w:r w:rsidR="00EB72AB">
        <w:rPr>
          <w:rFonts w:ascii="Arial" w:hAnsi="Arial"/>
          <w:sz w:val="20"/>
          <w:szCs w:val="20"/>
        </w:rPr>
        <w:t xml:space="preserve"> esta somente será </w:t>
      </w:r>
      <w:r w:rsidR="00DE285B">
        <w:rPr>
          <w:rFonts w:ascii="Arial" w:hAnsi="Arial"/>
          <w:sz w:val="20"/>
          <w:szCs w:val="20"/>
        </w:rPr>
        <w:t>lícita</w:t>
      </w:r>
      <w:r w:rsidR="00EB72AB">
        <w:rPr>
          <w:rFonts w:ascii="Arial" w:hAnsi="Arial"/>
          <w:sz w:val="20"/>
          <w:szCs w:val="20"/>
        </w:rPr>
        <w:t xml:space="preserve"> se aplicada dentro do limite do Município, evidentemente.</w:t>
      </w:r>
      <w:r>
        <w:rPr>
          <w:rFonts w:ascii="Arial" w:hAnsi="Arial"/>
          <w:sz w:val="20"/>
          <w:szCs w:val="20"/>
        </w:rPr>
        <w:t xml:space="preserve"> </w:t>
      </w:r>
    </w:p>
    <w:p w:rsidR="00DE6201" w:rsidRDefault="00DE6201" w:rsidP="005972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E6201" w:rsidRDefault="00DE6201" w:rsidP="00DE6201">
      <w:pPr>
        <w:jc w:val="both"/>
        <w:rPr>
          <w:rFonts w:ascii="Arial" w:hAnsi="Arial" w:cs="Arial"/>
          <w:sz w:val="20"/>
          <w:szCs w:val="20"/>
        </w:rPr>
      </w:pPr>
    </w:p>
    <w:p w:rsidR="00DE6201" w:rsidRDefault="00DE6201" w:rsidP="00DE620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DE6201" w:rsidRDefault="00DE6201" w:rsidP="00DE620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06 de novembro de 2.017.</w:t>
      </w:r>
    </w:p>
    <w:p w:rsidR="00DE6201" w:rsidRDefault="00DE6201" w:rsidP="00DE6201">
      <w:pPr>
        <w:pStyle w:val="Corpodetexto"/>
        <w:ind w:firstLine="1418"/>
        <w:rPr>
          <w:rFonts w:cs="Arial"/>
          <w:i/>
          <w:sz w:val="20"/>
        </w:rPr>
      </w:pPr>
    </w:p>
    <w:p w:rsidR="00DE6201" w:rsidRDefault="00DE6201" w:rsidP="00DE6201">
      <w:pPr>
        <w:pStyle w:val="Corpodetexto"/>
        <w:ind w:firstLine="1418"/>
        <w:rPr>
          <w:rFonts w:cs="Arial"/>
          <w:i/>
          <w:sz w:val="20"/>
        </w:rPr>
      </w:pPr>
    </w:p>
    <w:p w:rsidR="00DE6201" w:rsidRDefault="00DE6201" w:rsidP="00DE6201">
      <w:pPr>
        <w:pStyle w:val="Corpodetexto"/>
        <w:ind w:firstLine="1418"/>
        <w:rPr>
          <w:rFonts w:cs="Arial"/>
          <w:i/>
          <w:sz w:val="20"/>
        </w:rPr>
      </w:pPr>
    </w:p>
    <w:p w:rsidR="00DE6201" w:rsidRDefault="00DE6201" w:rsidP="00DE6201">
      <w:pPr>
        <w:pStyle w:val="Corpodetexto"/>
        <w:ind w:firstLine="1418"/>
        <w:rPr>
          <w:rFonts w:cs="Arial"/>
          <w:i/>
          <w:sz w:val="18"/>
          <w:szCs w:val="18"/>
        </w:rPr>
      </w:pPr>
      <w:bookmarkStart w:id="0" w:name="_GoBack"/>
      <w:bookmarkEnd w:id="0"/>
    </w:p>
    <w:p w:rsidR="00DE6201" w:rsidRDefault="00DE6201" w:rsidP="00DE620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DE6201" w:rsidRDefault="00DE6201" w:rsidP="00DE620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E6201" w:rsidRDefault="00DE6201" w:rsidP="00DE6201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p w:rsidR="00DE6201" w:rsidRDefault="00DE6201" w:rsidP="00DE6201">
      <w:pPr>
        <w:tabs>
          <w:tab w:val="left" w:pos="4962"/>
        </w:tabs>
      </w:pPr>
    </w:p>
    <w:p w:rsidR="00DE6201" w:rsidRDefault="00DE6201" w:rsidP="00DE6201"/>
    <w:p w:rsidR="00DE285B" w:rsidRDefault="00DE285B"/>
    <w:sectPr w:rsidR="00DE285B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1"/>
    <w:rsid w:val="00134B5B"/>
    <w:rsid w:val="00210D41"/>
    <w:rsid w:val="00597208"/>
    <w:rsid w:val="005A31E7"/>
    <w:rsid w:val="006438AB"/>
    <w:rsid w:val="00893D0F"/>
    <w:rsid w:val="00AD37E5"/>
    <w:rsid w:val="00C8138B"/>
    <w:rsid w:val="00CA4759"/>
    <w:rsid w:val="00DE285B"/>
    <w:rsid w:val="00DE6201"/>
    <w:rsid w:val="00EB72AB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FF2E-38CC-4DB9-9FB5-6338E79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201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20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DE620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unhideWhenUsed/>
    <w:rsid w:val="00DE620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E620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E620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E620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2017-11-06T13:04:00Z</dcterms:created>
  <dcterms:modified xsi:type="dcterms:W3CDTF">2017-11-07T15:09:00Z</dcterms:modified>
</cp:coreProperties>
</file>