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71CD" w:rsidRDefault="001971CD" w:rsidP="001971CD">
      <w:pPr>
        <w:rPr>
          <w:rFonts w:ascii="Arial" w:hAnsi="Arial" w:cs="Arial"/>
          <w:b/>
          <w:iCs/>
          <w:sz w:val="20"/>
          <w:szCs w:val="20"/>
        </w:rPr>
      </w:pPr>
      <w:r>
        <w:rPr>
          <w:rFonts w:ascii="Arial" w:hAnsi="Arial" w:cs="Arial"/>
          <w:b/>
          <w:iCs/>
          <w:sz w:val="20"/>
          <w:szCs w:val="20"/>
        </w:rPr>
        <w:t xml:space="preserve">                     CAMARA MUNICIPAL DE PORTO ALEGRE</w:t>
      </w:r>
    </w:p>
    <w:p w:rsidR="001971CD" w:rsidRDefault="001971CD" w:rsidP="001971CD">
      <w:pPr>
        <w:pStyle w:val="Ttulo3"/>
        <w:jc w:val="left"/>
        <w:rPr>
          <w:rFonts w:ascii="Arial" w:hAnsi="Arial" w:cs="Arial"/>
          <w:i w:val="0"/>
          <w:iCs/>
          <w:sz w:val="20"/>
        </w:rPr>
      </w:pPr>
      <w:r>
        <w:rPr>
          <w:rFonts w:ascii="Arial" w:hAnsi="Arial" w:cs="Arial"/>
          <w:i w:val="0"/>
          <w:iCs/>
          <w:sz w:val="20"/>
        </w:rPr>
        <w:t xml:space="preserve">                                           PROCURADORIA</w:t>
      </w:r>
    </w:p>
    <w:p w:rsidR="001971CD" w:rsidRDefault="001971CD" w:rsidP="001971CD">
      <w:pPr>
        <w:pStyle w:val="Ttulo3"/>
        <w:jc w:val="left"/>
        <w:rPr>
          <w:rFonts w:ascii="Arial" w:hAnsi="Arial" w:cs="Arial"/>
          <w:i w:val="0"/>
          <w:iCs/>
          <w:sz w:val="20"/>
        </w:rPr>
      </w:pPr>
    </w:p>
    <w:p w:rsidR="001971CD" w:rsidRDefault="001971CD" w:rsidP="001971CD">
      <w:pPr>
        <w:pStyle w:val="Ttulo3"/>
        <w:jc w:val="left"/>
        <w:rPr>
          <w:rFonts w:ascii="Arial" w:hAnsi="Arial" w:cs="Arial"/>
          <w:i w:val="0"/>
          <w:iCs/>
          <w:sz w:val="20"/>
        </w:rPr>
      </w:pPr>
    </w:p>
    <w:p w:rsidR="001971CD" w:rsidRDefault="001971CD" w:rsidP="001971CD">
      <w:pPr>
        <w:pStyle w:val="Ttulo3"/>
        <w:jc w:val="left"/>
        <w:rPr>
          <w:rFonts w:ascii="Arial" w:hAnsi="Arial" w:cs="Arial"/>
          <w:i w:val="0"/>
          <w:iCs/>
          <w:sz w:val="20"/>
        </w:rPr>
      </w:pPr>
      <w:r>
        <w:rPr>
          <w:rFonts w:ascii="Arial" w:hAnsi="Arial" w:cs="Arial"/>
          <w:i w:val="0"/>
          <w:sz w:val="20"/>
        </w:rPr>
        <w:t>PARECER Nº 31</w:t>
      </w:r>
      <w:r>
        <w:rPr>
          <w:rFonts w:ascii="Arial" w:hAnsi="Arial" w:cs="Arial"/>
          <w:i w:val="0"/>
          <w:sz w:val="20"/>
        </w:rPr>
        <w:t>3</w:t>
      </w:r>
      <w:r>
        <w:rPr>
          <w:rFonts w:ascii="Arial" w:hAnsi="Arial" w:cs="Arial"/>
          <w:i w:val="0"/>
          <w:sz w:val="20"/>
        </w:rPr>
        <w:t>/15.</w:t>
      </w:r>
    </w:p>
    <w:p w:rsidR="001971CD" w:rsidRDefault="001971CD" w:rsidP="001971CD">
      <w:pPr>
        <w:rPr>
          <w:sz w:val="20"/>
          <w:szCs w:val="20"/>
        </w:rPr>
      </w:pPr>
    </w:p>
    <w:p w:rsidR="001971CD" w:rsidRDefault="001971CD" w:rsidP="001971CD">
      <w:pPr>
        <w:rPr>
          <w:rFonts w:ascii="Arial" w:hAnsi="Arial" w:cs="Arial"/>
          <w:iCs/>
          <w:sz w:val="20"/>
          <w:szCs w:val="20"/>
        </w:rPr>
      </w:pPr>
    </w:p>
    <w:p w:rsidR="001971CD" w:rsidRDefault="001971CD" w:rsidP="001971CD">
      <w:pPr>
        <w:pStyle w:val="Ttulo1"/>
        <w:ind w:left="5664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PROCESSO Nº 1072</w:t>
      </w:r>
      <w:r>
        <w:rPr>
          <w:rFonts w:ascii="Arial" w:hAnsi="Arial" w:cs="Arial"/>
          <w:b/>
          <w:sz w:val="20"/>
        </w:rPr>
        <w:t>/1</w:t>
      </w:r>
      <w:r>
        <w:rPr>
          <w:rFonts w:ascii="Arial" w:hAnsi="Arial" w:cs="Arial"/>
          <w:b/>
          <w:sz w:val="20"/>
        </w:rPr>
        <w:t>5</w:t>
      </w:r>
      <w:r>
        <w:rPr>
          <w:rFonts w:ascii="Arial" w:hAnsi="Arial" w:cs="Arial"/>
          <w:b/>
          <w:sz w:val="20"/>
        </w:rPr>
        <w:t>.</w:t>
      </w:r>
    </w:p>
    <w:p w:rsidR="001971CD" w:rsidRDefault="001971CD" w:rsidP="001971CD">
      <w:pPr>
        <w:pStyle w:val="Ttulo1"/>
        <w:ind w:left="4956" w:firstLine="708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PLL              Nº    </w:t>
      </w:r>
      <w:r>
        <w:rPr>
          <w:rFonts w:ascii="Arial" w:hAnsi="Arial" w:cs="Arial"/>
          <w:b/>
          <w:sz w:val="20"/>
        </w:rPr>
        <w:t>91</w:t>
      </w:r>
      <w:r>
        <w:rPr>
          <w:rFonts w:ascii="Arial" w:hAnsi="Arial" w:cs="Arial"/>
          <w:b/>
          <w:sz w:val="20"/>
        </w:rPr>
        <w:t>/1</w:t>
      </w:r>
      <w:r>
        <w:rPr>
          <w:rFonts w:ascii="Arial" w:hAnsi="Arial" w:cs="Arial"/>
          <w:b/>
          <w:sz w:val="20"/>
        </w:rPr>
        <w:t>5</w:t>
      </w:r>
      <w:r>
        <w:rPr>
          <w:rFonts w:ascii="Arial" w:hAnsi="Arial" w:cs="Arial"/>
          <w:b/>
          <w:sz w:val="20"/>
        </w:rPr>
        <w:t>4.</w:t>
      </w:r>
    </w:p>
    <w:p w:rsidR="001971CD" w:rsidRDefault="001971CD" w:rsidP="001971CD">
      <w:pPr>
        <w:rPr>
          <w:sz w:val="20"/>
          <w:szCs w:val="20"/>
        </w:rPr>
      </w:pPr>
    </w:p>
    <w:p w:rsidR="001971CD" w:rsidRDefault="001971CD" w:rsidP="001971CD">
      <w:pPr>
        <w:ind w:firstLine="1134"/>
        <w:rPr>
          <w:sz w:val="20"/>
          <w:szCs w:val="20"/>
        </w:rPr>
      </w:pPr>
    </w:p>
    <w:p w:rsidR="001971CD" w:rsidRDefault="001971CD" w:rsidP="001971CD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É submetido a exame desta Procuradoria, para parecer prévio, o Projeto de Lei do Legislativo em epígrafe, que denomina Rua </w:t>
      </w:r>
      <w:r>
        <w:rPr>
          <w:rFonts w:ascii="Arial" w:hAnsi="Arial" w:cs="Arial"/>
          <w:sz w:val="20"/>
          <w:szCs w:val="20"/>
        </w:rPr>
        <w:t xml:space="preserve">17 de Dezembro </w:t>
      </w:r>
      <w:r>
        <w:rPr>
          <w:rFonts w:ascii="Arial" w:hAnsi="Arial" w:cs="Arial"/>
          <w:sz w:val="20"/>
          <w:szCs w:val="20"/>
        </w:rPr>
        <w:t xml:space="preserve">o logradouro público não cadastrado conhecido como </w:t>
      </w:r>
      <w:r>
        <w:rPr>
          <w:rFonts w:ascii="Arial" w:hAnsi="Arial" w:cs="Arial"/>
          <w:sz w:val="20"/>
          <w:szCs w:val="20"/>
        </w:rPr>
        <w:t>Rua Mil e Sessenta e Oito</w:t>
      </w:r>
      <w:r>
        <w:rPr>
          <w:rFonts w:ascii="Arial" w:hAnsi="Arial" w:cs="Arial"/>
          <w:sz w:val="20"/>
          <w:szCs w:val="20"/>
        </w:rPr>
        <w:t>, localizado no Bairro</w:t>
      </w:r>
      <w:r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>Praia de Belas</w:t>
      </w:r>
      <w:r>
        <w:rPr>
          <w:rFonts w:ascii="Arial" w:hAnsi="Arial" w:cs="Arial"/>
          <w:sz w:val="20"/>
          <w:szCs w:val="20"/>
        </w:rPr>
        <w:t xml:space="preserve">. </w:t>
      </w:r>
    </w:p>
    <w:p w:rsidR="001971CD" w:rsidRDefault="001971CD" w:rsidP="001971CD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forma do que dispõe a Carta Magna, compete aos Municípios legislar sobre assuntos de interesse local (artigo 30, inciso I).</w:t>
      </w:r>
    </w:p>
    <w:p w:rsidR="001971CD" w:rsidRDefault="001971CD" w:rsidP="001971CD">
      <w:pPr>
        <w:pStyle w:val="Corpodetexto"/>
        <w:ind w:firstLine="1134"/>
        <w:rPr>
          <w:rFonts w:cs="Arial"/>
          <w:sz w:val="20"/>
        </w:rPr>
      </w:pPr>
      <w:r>
        <w:rPr>
          <w:rFonts w:cs="Arial"/>
          <w:sz w:val="20"/>
        </w:rPr>
        <w:t>A Lei Orgânica, de forma ajustada aos princípios constitucionais, determina a competência do Município para prover tudo quanto concerne a este assunto.</w:t>
      </w:r>
    </w:p>
    <w:p w:rsidR="001971CD" w:rsidRDefault="001971CD" w:rsidP="001971CD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Lei Complementar nº 320/94, sucessivamente alterada, normatiza o procedimento para denominação de logradouros e equipamentos públicos, estabelecendo que possam receber denominação de pessoas, datas, fatos históricos e geográficos ou outros reconhecidos pela comunidade, e defere iniciativa legislativa aos titulares de mandato eletivo municipal no que tange à matéria (arts. 2º e 9º).</w:t>
      </w:r>
    </w:p>
    <w:p w:rsidR="001971CD" w:rsidRDefault="001971CD" w:rsidP="001971CD">
      <w:pPr>
        <w:pStyle w:val="Recuodecorpodetexto"/>
        <w:ind w:firstLine="708"/>
        <w:rPr>
          <w:rFonts w:cs="Arial"/>
          <w:sz w:val="20"/>
        </w:rPr>
      </w:pPr>
      <w:r>
        <w:rPr>
          <w:rFonts w:cs="Arial"/>
          <w:sz w:val="20"/>
        </w:rPr>
        <w:t>A matéria o objeto da proposição insere-se no âmbito de competência municipal, inexistindo óbice jurídico à tramitação.</w:t>
      </w:r>
    </w:p>
    <w:p w:rsidR="001971CD" w:rsidRDefault="001971CD" w:rsidP="001971CD">
      <w:pPr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É o parecer, </w:t>
      </w:r>
      <w:r>
        <w:rPr>
          <w:rFonts w:ascii="Arial" w:hAnsi="Arial" w:cs="Arial"/>
          <w:i/>
          <w:sz w:val="20"/>
          <w:szCs w:val="20"/>
        </w:rPr>
        <w:t>sub censura</w:t>
      </w:r>
      <w:r>
        <w:rPr>
          <w:rFonts w:ascii="Arial" w:hAnsi="Arial" w:cs="Arial"/>
          <w:sz w:val="20"/>
          <w:szCs w:val="20"/>
        </w:rPr>
        <w:t>.</w:t>
      </w:r>
    </w:p>
    <w:p w:rsidR="001971CD" w:rsidRDefault="001971CD" w:rsidP="001971CD">
      <w:pPr>
        <w:rPr>
          <w:rFonts w:ascii="Arial" w:hAnsi="Arial" w:cs="Arial"/>
          <w:sz w:val="20"/>
          <w:szCs w:val="20"/>
        </w:rPr>
      </w:pPr>
    </w:p>
    <w:p w:rsidR="001971CD" w:rsidRDefault="001971CD" w:rsidP="001971CD">
      <w:pPr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Á Diretoria Legislativa para processamento na forma regimental.</w:t>
      </w:r>
    </w:p>
    <w:p w:rsidR="001971CD" w:rsidRDefault="001971CD" w:rsidP="001971CD">
      <w:pPr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Em 30 de junho de 2015.</w:t>
      </w:r>
    </w:p>
    <w:p w:rsidR="001971CD" w:rsidRDefault="001971CD" w:rsidP="001971CD">
      <w:pPr>
        <w:rPr>
          <w:rFonts w:ascii="Arial" w:hAnsi="Arial" w:cs="Arial"/>
          <w:sz w:val="20"/>
          <w:szCs w:val="20"/>
        </w:rPr>
      </w:pPr>
    </w:p>
    <w:p w:rsidR="001971CD" w:rsidRDefault="001971CD" w:rsidP="001971CD">
      <w:pPr>
        <w:rPr>
          <w:rFonts w:ascii="Arial" w:hAnsi="Arial" w:cs="Arial"/>
          <w:sz w:val="20"/>
          <w:szCs w:val="20"/>
        </w:rPr>
      </w:pPr>
    </w:p>
    <w:p w:rsidR="001971CD" w:rsidRDefault="001971CD" w:rsidP="001971CD">
      <w:pPr>
        <w:rPr>
          <w:rFonts w:ascii="Arial" w:hAnsi="Arial" w:cs="Arial"/>
          <w:sz w:val="20"/>
          <w:szCs w:val="20"/>
        </w:rPr>
      </w:pPr>
    </w:p>
    <w:p w:rsidR="001971CD" w:rsidRDefault="001971CD" w:rsidP="001971CD">
      <w:pPr>
        <w:rPr>
          <w:rFonts w:ascii="Arial" w:hAnsi="Arial" w:cs="Arial"/>
          <w:sz w:val="20"/>
          <w:szCs w:val="20"/>
        </w:rPr>
      </w:pPr>
    </w:p>
    <w:p w:rsidR="001971CD" w:rsidRDefault="001971CD" w:rsidP="001971CD">
      <w:pPr>
        <w:ind w:left="4956"/>
        <w:rPr>
          <w:rFonts w:ascii="Arial" w:hAnsi="Arial" w:cs="Arial"/>
          <w:b/>
          <w:sz w:val="20"/>
          <w:szCs w:val="20"/>
        </w:rPr>
      </w:pPr>
    </w:p>
    <w:p w:rsidR="001971CD" w:rsidRDefault="001971CD" w:rsidP="001971C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Claudio Roberto Velasquez</w:t>
      </w:r>
    </w:p>
    <w:p w:rsidR="001971CD" w:rsidRDefault="001971CD" w:rsidP="001971CD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Procurador-Geral–OAB/RS 18.594</w:t>
      </w:r>
      <w:r>
        <w:rPr>
          <w:rFonts w:ascii="Arial" w:hAnsi="Arial" w:cs="Arial"/>
          <w:sz w:val="16"/>
          <w:szCs w:val="16"/>
        </w:rPr>
        <w:tab/>
      </w:r>
    </w:p>
    <w:p w:rsidR="001971CD" w:rsidRDefault="001971CD" w:rsidP="001971CD">
      <w:pPr>
        <w:rPr>
          <w:rFonts w:ascii="Arial" w:hAnsi="Arial" w:cs="Arial"/>
          <w:sz w:val="20"/>
          <w:szCs w:val="20"/>
        </w:rPr>
      </w:pPr>
    </w:p>
    <w:p w:rsidR="001971CD" w:rsidRDefault="001971CD" w:rsidP="001971CD">
      <w:pPr>
        <w:rPr>
          <w:rFonts w:ascii="Arial" w:hAnsi="Arial" w:cs="Arial"/>
          <w:b/>
          <w:sz w:val="20"/>
          <w:szCs w:val="20"/>
        </w:rPr>
      </w:pPr>
    </w:p>
    <w:p w:rsidR="001971CD" w:rsidRDefault="001971CD" w:rsidP="001971CD">
      <w:pPr>
        <w:rPr>
          <w:rFonts w:ascii="Arial" w:hAnsi="Arial" w:cs="Arial"/>
          <w:b/>
          <w:sz w:val="20"/>
          <w:szCs w:val="20"/>
        </w:rPr>
      </w:pPr>
    </w:p>
    <w:p w:rsidR="001971CD" w:rsidRDefault="001971CD" w:rsidP="001971CD">
      <w:pPr>
        <w:rPr>
          <w:sz w:val="20"/>
          <w:szCs w:val="20"/>
        </w:rPr>
      </w:pPr>
    </w:p>
    <w:p w:rsidR="001971CD" w:rsidRDefault="001971CD" w:rsidP="001971CD">
      <w:pPr>
        <w:rPr>
          <w:sz w:val="20"/>
          <w:szCs w:val="20"/>
        </w:rPr>
      </w:pPr>
    </w:p>
    <w:p w:rsidR="001971CD" w:rsidRDefault="001971CD" w:rsidP="001971CD"/>
    <w:p w:rsidR="001971CD" w:rsidRDefault="001971CD" w:rsidP="001971CD"/>
    <w:p w:rsidR="001971CD" w:rsidRDefault="001971CD" w:rsidP="001971CD"/>
    <w:p w:rsidR="001971CD" w:rsidRDefault="001971CD" w:rsidP="001971CD"/>
    <w:p w:rsidR="001971CD" w:rsidRDefault="001971CD" w:rsidP="001971CD"/>
    <w:p w:rsidR="001971CD" w:rsidRDefault="001971CD" w:rsidP="001971CD"/>
    <w:p w:rsidR="001971CD" w:rsidRDefault="001971CD" w:rsidP="001971CD"/>
    <w:p w:rsidR="001971CD" w:rsidRDefault="001971CD" w:rsidP="001971CD"/>
    <w:p w:rsidR="001971CD" w:rsidRDefault="001971CD" w:rsidP="001971CD"/>
    <w:p w:rsidR="001971CD" w:rsidRDefault="001971CD" w:rsidP="001971CD"/>
    <w:p w:rsidR="001971CD" w:rsidRDefault="001971CD" w:rsidP="001971CD"/>
    <w:p w:rsidR="001971CD" w:rsidRDefault="001971CD" w:rsidP="001971CD"/>
    <w:p w:rsidR="00701377" w:rsidRDefault="00701377"/>
    <w:sectPr w:rsidR="0070137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1CD"/>
    <w:rsid w:val="001971CD"/>
    <w:rsid w:val="00284AAD"/>
    <w:rsid w:val="00701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525F37-4FBE-4D7B-857A-58499E05B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1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971CD"/>
    <w:pPr>
      <w:keepNext/>
      <w:outlineLvl w:val="0"/>
    </w:pPr>
    <w:rPr>
      <w:sz w:val="40"/>
      <w:szCs w:val="20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1971CD"/>
    <w:pPr>
      <w:keepNext/>
      <w:jc w:val="center"/>
      <w:outlineLvl w:val="2"/>
    </w:pPr>
    <w:rPr>
      <w:b/>
      <w:i/>
      <w:sz w:val="4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971CD"/>
    <w:rPr>
      <w:rFonts w:ascii="Times New Roman" w:eastAsia="Times New Roman" w:hAnsi="Times New Roman" w:cs="Times New Roman"/>
      <w:sz w:val="40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1971CD"/>
    <w:rPr>
      <w:rFonts w:ascii="Times New Roman" w:eastAsia="Times New Roman" w:hAnsi="Times New Roman" w:cs="Times New Roman"/>
      <w:b/>
      <w:i/>
      <w:sz w:val="40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1971CD"/>
    <w:pPr>
      <w:jc w:val="both"/>
    </w:pPr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1971CD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1971CD"/>
    <w:pPr>
      <w:ind w:firstLine="1416"/>
      <w:jc w:val="both"/>
    </w:pPr>
    <w:rPr>
      <w:rFonts w:ascii="Arial" w:hAnsi="Arial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971CD"/>
    <w:rPr>
      <w:rFonts w:ascii="Arial" w:eastAsia="Times New Roman" w:hAnsi="Arial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84AA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84AAD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229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Cláudio Roberto Velasquez</cp:lastModifiedBy>
  <cp:revision>3</cp:revision>
  <cp:lastPrinted>2015-06-30T15:34:00Z</cp:lastPrinted>
  <dcterms:created xsi:type="dcterms:W3CDTF">2015-06-30T15:32:00Z</dcterms:created>
  <dcterms:modified xsi:type="dcterms:W3CDTF">2015-06-30T15:34:00Z</dcterms:modified>
</cp:coreProperties>
</file>