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855" w:rsidRDefault="00AD6855" w:rsidP="00AD685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CÂMARA MUNICIPAL DE PORTO ALEGRE</w:t>
      </w:r>
    </w:p>
    <w:p w:rsidR="00AD6855" w:rsidRDefault="00AD6855" w:rsidP="00AD685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PROCURADORIA</w:t>
      </w:r>
    </w:p>
    <w:p w:rsidR="00AD6855" w:rsidRDefault="00AD6855" w:rsidP="00AD6855">
      <w:pPr>
        <w:pStyle w:val="Ttulo1"/>
        <w:rPr>
          <w:rFonts w:ascii="Arial" w:hAnsi="Arial" w:cs="Arial"/>
          <w:sz w:val="20"/>
        </w:rPr>
      </w:pPr>
    </w:p>
    <w:p w:rsidR="00AD6855" w:rsidRDefault="00AD6855" w:rsidP="00AD6855">
      <w:pPr>
        <w:pStyle w:val="Ttulo1"/>
        <w:rPr>
          <w:rFonts w:ascii="Arial" w:hAnsi="Arial" w:cs="Arial"/>
          <w:sz w:val="20"/>
        </w:rPr>
      </w:pPr>
    </w:p>
    <w:p w:rsidR="00AD6855" w:rsidRDefault="00AD6855" w:rsidP="00AD6855">
      <w:pPr>
        <w:pStyle w:val="Ttulo1"/>
        <w:rPr>
          <w:rFonts w:ascii="Arial" w:hAnsi="Arial" w:cs="Arial"/>
          <w:sz w:val="20"/>
        </w:rPr>
      </w:pPr>
    </w:p>
    <w:p w:rsidR="00AD6855" w:rsidRDefault="00AD6855" w:rsidP="00AD6855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PARECER Nº</w:t>
      </w:r>
      <w:r>
        <w:rPr>
          <w:rFonts w:ascii="Arial" w:hAnsi="Arial" w:cs="Arial"/>
          <w:sz w:val="20"/>
        </w:rPr>
        <w:t xml:space="preserve"> 412/15.</w:t>
      </w:r>
      <w:bookmarkStart w:id="0" w:name="_GoBack"/>
      <w:bookmarkEnd w:id="0"/>
    </w:p>
    <w:p w:rsidR="00AD6855" w:rsidRDefault="00AD6855" w:rsidP="00AD6855">
      <w:pPr>
        <w:jc w:val="center"/>
        <w:rPr>
          <w:rFonts w:ascii="Arial" w:hAnsi="Arial" w:cs="Arial"/>
          <w:b/>
          <w:sz w:val="20"/>
          <w:szCs w:val="20"/>
        </w:rPr>
      </w:pPr>
    </w:p>
    <w:p w:rsidR="00AD6855" w:rsidRDefault="00AD6855" w:rsidP="00AD6855">
      <w:pPr>
        <w:rPr>
          <w:rFonts w:ascii="Arial" w:hAnsi="Arial" w:cs="Arial"/>
          <w:sz w:val="20"/>
          <w:szCs w:val="20"/>
        </w:rPr>
      </w:pPr>
    </w:p>
    <w:p w:rsidR="00AD6855" w:rsidRDefault="00AD6855" w:rsidP="00AD6855">
      <w:pPr>
        <w:ind w:left="450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1209/15.</w:t>
      </w:r>
    </w:p>
    <w:p w:rsidR="00AD6855" w:rsidRDefault="00AD6855" w:rsidP="00AD6855">
      <w:pPr>
        <w:pStyle w:val="Ttulo2"/>
        <w:rPr>
          <w:sz w:val="20"/>
          <w:szCs w:val="20"/>
        </w:rPr>
      </w:pPr>
      <w:r>
        <w:rPr>
          <w:sz w:val="20"/>
          <w:szCs w:val="20"/>
        </w:rPr>
        <w:t>PLL               Nº   105/15.</w:t>
      </w:r>
    </w:p>
    <w:p w:rsidR="00AD6855" w:rsidRDefault="00AD6855" w:rsidP="00AD6855">
      <w:pPr>
        <w:rPr>
          <w:rFonts w:ascii="Arial" w:hAnsi="Arial" w:cs="Arial"/>
          <w:sz w:val="20"/>
          <w:szCs w:val="20"/>
        </w:rPr>
      </w:pPr>
    </w:p>
    <w:p w:rsidR="00AD6855" w:rsidRDefault="00AD6855" w:rsidP="00AD6855">
      <w:pPr>
        <w:pStyle w:val="Corpodetexto"/>
        <w:jc w:val="both"/>
        <w:rPr>
          <w:sz w:val="20"/>
        </w:rPr>
      </w:pPr>
      <w:r>
        <w:rPr>
          <w:sz w:val="20"/>
        </w:rPr>
        <w:tab/>
        <w:t>É submetido a exame desta Procuradoria, para parecer prévio, o Projeto de Lei do Legislativo em epígrafe, que inclui a efeméride Dia da Consciência Animal no Anexo da Lei nº 10.904/10, de 31 de maio de 2010 – Calendário de Datas Comemorativas e de Conscientização do Município de Porto Alegre -, e alterações posteriores no dia 21 de março.</w:t>
      </w:r>
    </w:p>
    <w:p w:rsidR="00AD6855" w:rsidRDefault="00AD6855" w:rsidP="00AD6855">
      <w:pPr>
        <w:pStyle w:val="Corpodetexto"/>
        <w:jc w:val="both"/>
        <w:rPr>
          <w:sz w:val="20"/>
        </w:rPr>
      </w:pPr>
      <w:r>
        <w:rPr>
          <w:sz w:val="20"/>
        </w:rPr>
        <w:tab/>
        <w:t xml:space="preserve">Na forma do que dispõe a Carta Magna, é </w:t>
      </w:r>
      <w:proofErr w:type="gramStart"/>
      <w:r>
        <w:rPr>
          <w:sz w:val="20"/>
        </w:rPr>
        <w:t>da</w:t>
      </w:r>
      <w:proofErr w:type="gramEnd"/>
      <w:r>
        <w:rPr>
          <w:sz w:val="20"/>
        </w:rPr>
        <w:t xml:space="preserve"> competência dos Municípios legislar sobre assuntos de interesse local (art. 30, inciso I).</w:t>
      </w:r>
    </w:p>
    <w:p w:rsidR="00AD6855" w:rsidRDefault="00AD6855" w:rsidP="00AD6855">
      <w:pPr>
        <w:pStyle w:val="Corpodetexto2"/>
        <w:rPr>
          <w:sz w:val="20"/>
        </w:rPr>
      </w:pPr>
      <w:r>
        <w:rPr>
          <w:sz w:val="20"/>
        </w:rPr>
        <w:tab/>
        <w:t>A Lei Orgânica do Município de Porto Alegre, por sua vez, declara competir a este prover tudo quanto concerne ao interesse local e estabelecer suas leis e atos relativos aos assuntos de interesse local (arts. 9º, inciso II e III).</w:t>
      </w:r>
    </w:p>
    <w:p w:rsidR="00AD6855" w:rsidRDefault="00AD6855" w:rsidP="00AD6855">
      <w:pPr>
        <w:ind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 matéria objeto da proposição se insere no âmbito de competência municipal, inexistindo óbice jurídico à tramitação.</w:t>
      </w:r>
    </w:p>
    <w:p w:rsidR="00AD6855" w:rsidRDefault="00AD6855" w:rsidP="00AD685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AD6855" w:rsidRDefault="00AD6855" w:rsidP="00AD6855">
      <w:pPr>
        <w:pStyle w:val="Corpodetexto"/>
        <w:ind w:firstLine="708"/>
        <w:rPr>
          <w:sz w:val="20"/>
        </w:rPr>
      </w:pPr>
    </w:p>
    <w:p w:rsidR="00AD6855" w:rsidRDefault="00AD6855" w:rsidP="00AD6855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AD6855" w:rsidRDefault="00AD6855" w:rsidP="00AD6855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Em 10 de agosto de 2015.</w:t>
      </w:r>
    </w:p>
    <w:p w:rsidR="00AD6855" w:rsidRDefault="00AD6855" w:rsidP="00AD6855">
      <w:pPr>
        <w:pStyle w:val="Corpodetexto"/>
        <w:ind w:firstLine="1418"/>
        <w:rPr>
          <w:rFonts w:cs="Arial"/>
          <w:sz w:val="20"/>
        </w:rPr>
      </w:pPr>
    </w:p>
    <w:p w:rsidR="00AD6855" w:rsidRDefault="00AD6855" w:rsidP="00AD6855">
      <w:pPr>
        <w:pStyle w:val="Corpodetexto"/>
        <w:ind w:firstLine="1418"/>
        <w:rPr>
          <w:rFonts w:cs="Arial"/>
          <w:sz w:val="20"/>
        </w:rPr>
      </w:pPr>
    </w:p>
    <w:p w:rsidR="00AD6855" w:rsidRDefault="00AD6855" w:rsidP="00AD6855">
      <w:pPr>
        <w:pStyle w:val="Corpodetexto"/>
        <w:ind w:firstLine="1418"/>
        <w:rPr>
          <w:rFonts w:cs="Arial"/>
          <w:sz w:val="20"/>
        </w:rPr>
      </w:pPr>
    </w:p>
    <w:p w:rsidR="00AD6855" w:rsidRDefault="00AD6855" w:rsidP="00AD6855">
      <w:pPr>
        <w:pStyle w:val="Corpodetexto"/>
        <w:ind w:firstLine="1418"/>
        <w:rPr>
          <w:rFonts w:cs="Arial"/>
          <w:sz w:val="20"/>
        </w:rPr>
      </w:pPr>
    </w:p>
    <w:p w:rsidR="00AD6855" w:rsidRDefault="00AD6855" w:rsidP="00AD6855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AD6855" w:rsidRDefault="00AD6855" w:rsidP="00AD6855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AD6855" w:rsidRDefault="00AD6855" w:rsidP="00AD6855"/>
    <w:p w:rsidR="00AD6855" w:rsidRDefault="00AD6855" w:rsidP="00AD6855"/>
    <w:p w:rsidR="00AD6855" w:rsidRDefault="00AD6855" w:rsidP="00AD6855"/>
    <w:p w:rsidR="00AD6855" w:rsidRDefault="00AD6855" w:rsidP="00AD6855"/>
    <w:p w:rsidR="000B12F6" w:rsidRDefault="000B12F6"/>
    <w:sectPr w:rsidR="000B12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855"/>
    <w:rsid w:val="000B12F6"/>
    <w:rsid w:val="00AD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6B411-626C-4971-97D0-E2C0A04F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D6855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D6855"/>
    <w:pPr>
      <w:keepNext/>
      <w:ind w:left="3792" w:firstLine="708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D685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AD6855"/>
    <w:rPr>
      <w:rFonts w:ascii="Arial" w:eastAsia="Times New Roman" w:hAnsi="Arial" w:cs="Arial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D6855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AD6855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D6855"/>
    <w:pPr>
      <w:jc w:val="both"/>
    </w:pPr>
    <w:rPr>
      <w:rFonts w:ascii="Arial" w:hAnsi="Arial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AD6855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1</cp:revision>
  <dcterms:created xsi:type="dcterms:W3CDTF">2015-08-11T12:25:00Z</dcterms:created>
  <dcterms:modified xsi:type="dcterms:W3CDTF">2015-08-11T12:31:00Z</dcterms:modified>
</cp:coreProperties>
</file>