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2C" w:rsidRPr="00C34D2C" w:rsidRDefault="00C34D2C" w:rsidP="00C34D2C">
      <w:pPr>
        <w:jc w:val="center"/>
        <w:rPr>
          <w:rFonts w:ascii="Arial" w:hAnsi="Arial" w:cs="Arial"/>
          <w:b/>
          <w:sz w:val="20"/>
          <w:szCs w:val="20"/>
        </w:rPr>
      </w:pPr>
      <w:r w:rsidRPr="00C34D2C">
        <w:rPr>
          <w:rFonts w:ascii="Arial" w:hAnsi="Arial" w:cs="Arial"/>
          <w:b/>
          <w:sz w:val="20"/>
          <w:szCs w:val="20"/>
        </w:rPr>
        <w:t>CÂMARA MUNICIPAL DE PORTO ALEGRE</w:t>
      </w:r>
    </w:p>
    <w:p w:rsidR="00C34D2C" w:rsidRPr="00C34D2C" w:rsidRDefault="00C34D2C" w:rsidP="00C34D2C">
      <w:pPr>
        <w:jc w:val="center"/>
        <w:rPr>
          <w:rFonts w:ascii="Arial" w:hAnsi="Arial" w:cs="Arial"/>
          <w:b/>
          <w:sz w:val="20"/>
          <w:szCs w:val="20"/>
        </w:rPr>
      </w:pPr>
      <w:r w:rsidRPr="00C34D2C">
        <w:rPr>
          <w:rFonts w:ascii="Arial" w:hAnsi="Arial" w:cs="Arial"/>
          <w:b/>
          <w:sz w:val="20"/>
          <w:szCs w:val="20"/>
        </w:rPr>
        <w:t>PROCURADORIA</w:t>
      </w:r>
    </w:p>
    <w:p w:rsidR="00C34D2C" w:rsidRPr="00C34D2C" w:rsidRDefault="00C34D2C" w:rsidP="00C34D2C">
      <w:pPr>
        <w:pStyle w:val="Ttulo1"/>
        <w:rPr>
          <w:rFonts w:ascii="Arial" w:hAnsi="Arial" w:cs="Arial"/>
          <w:sz w:val="20"/>
        </w:rPr>
      </w:pPr>
    </w:p>
    <w:p w:rsidR="00C34D2C" w:rsidRPr="00C34D2C" w:rsidRDefault="00C34D2C" w:rsidP="00C34D2C">
      <w:pPr>
        <w:pStyle w:val="Ttulo1"/>
        <w:rPr>
          <w:rFonts w:ascii="Arial" w:hAnsi="Arial" w:cs="Arial"/>
          <w:sz w:val="20"/>
        </w:rPr>
      </w:pPr>
    </w:p>
    <w:p w:rsidR="00C34D2C" w:rsidRPr="00C34D2C" w:rsidRDefault="00C34D2C" w:rsidP="00C34D2C">
      <w:pPr>
        <w:pStyle w:val="Ttulo1"/>
        <w:rPr>
          <w:rFonts w:ascii="Arial" w:hAnsi="Arial" w:cs="Arial"/>
          <w:sz w:val="20"/>
        </w:rPr>
      </w:pPr>
    </w:p>
    <w:p w:rsidR="00C34D2C" w:rsidRPr="00C34D2C" w:rsidRDefault="00C34D2C" w:rsidP="00C34D2C">
      <w:pPr>
        <w:pStyle w:val="Ttulo1"/>
        <w:rPr>
          <w:rFonts w:ascii="Arial" w:hAnsi="Arial"/>
          <w:sz w:val="20"/>
        </w:rPr>
      </w:pPr>
      <w:r w:rsidRPr="00C34D2C">
        <w:rPr>
          <w:rFonts w:ascii="Arial" w:hAnsi="Arial"/>
          <w:sz w:val="20"/>
        </w:rPr>
        <w:t xml:space="preserve">PARECER </w:t>
      </w:r>
      <w:r>
        <w:rPr>
          <w:rFonts w:ascii="Arial" w:hAnsi="Arial"/>
          <w:sz w:val="20"/>
        </w:rPr>
        <w:t xml:space="preserve">Nº </w:t>
      </w:r>
      <w:r w:rsidR="004574DA">
        <w:rPr>
          <w:rFonts w:ascii="Arial" w:hAnsi="Arial"/>
          <w:sz w:val="20"/>
        </w:rPr>
        <w:t>510/15.</w:t>
      </w:r>
      <w:bookmarkStart w:id="0" w:name="_GoBack"/>
      <w:bookmarkEnd w:id="0"/>
    </w:p>
    <w:p w:rsidR="00C34D2C" w:rsidRPr="00C34D2C" w:rsidRDefault="00C34D2C" w:rsidP="00C34D2C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34D2C" w:rsidRPr="00C34D2C" w:rsidRDefault="00C34D2C" w:rsidP="00C34D2C">
      <w:pPr>
        <w:rPr>
          <w:rFonts w:ascii="Arial" w:hAnsi="Arial" w:cs="Arial"/>
          <w:sz w:val="20"/>
          <w:szCs w:val="20"/>
        </w:rPr>
      </w:pPr>
    </w:p>
    <w:p w:rsidR="00C34D2C" w:rsidRPr="00C34D2C" w:rsidRDefault="00C34D2C" w:rsidP="00C34D2C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</w:t>
      </w:r>
      <w:r w:rsidRPr="00C34D2C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1809</w:t>
      </w:r>
      <w:r w:rsidRPr="00C34D2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C34D2C">
        <w:rPr>
          <w:rFonts w:ascii="Arial" w:hAnsi="Arial" w:cs="Arial"/>
          <w:b/>
          <w:sz w:val="20"/>
          <w:szCs w:val="20"/>
        </w:rPr>
        <w:t>.</w:t>
      </w:r>
    </w:p>
    <w:p w:rsidR="00C34D2C" w:rsidRPr="00C34D2C" w:rsidRDefault="00C34D2C" w:rsidP="00C34D2C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C34D2C">
        <w:rPr>
          <w:rFonts w:ascii="Arial" w:hAnsi="Arial" w:cs="Arial"/>
          <w:b/>
          <w:sz w:val="20"/>
          <w:szCs w:val="20"/>
        </w:rPr>
        <w:t xml:space="preserve">PLL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C34D2C"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4D2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66</w:t>
      </w:r>
      <w:r w:rsidRPr="00C34D2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C34D2C">
        <w:rPr>
          <w:rFonts w:ascii="Arial" w:hAnsi="Arial" w:cs="Arial"/>
          <w:b/>
          <w:sz w:val="20"/>
          <w:szCs w:val="20"/>
        </w:rPr>
        <w:t>.</w:t>
      </w:r>
    </w:p>
    <w:p w:rsidR="00C34D2C" w:rsidRPr="00C34D2C" w:rsidRDefault="00C34D2C" w:rsidP="00C34D2C">
      <w:pPr>
        <w:rPr>
          <w:rFonts w:ascii="Arial" w:hAnsi="Arial" w:cs="Arial"/>
          <w:sz w:val="20"/>
          <w:szCs w:val="20"/>
        </w:rPr>
      </w:pPr>
    </w:p>
    <w:p w:rsidR="00C34D2C" w:rsidRPr="00C34D2C" w:rsidRDefault="00C34D2C" w:rsidP="00C34D2C">
      <w:pPr>
        <w:rPr>
          <w:rFonts w:ascii="Arial" w:hAnsi="Arial" w:cs="Arial"/>
          <w:sz w:val="20"/>
          <w:szCs w:val="20"/>
        </w:rPr>
      </w:pPr>
    </w:p>
    <w:p w:rsidR="00C34D2C" w:rsidRDefault="00C34D2C" w:rsidP="00C34D2C">
      <w:pPr>
        <w:rPr>
          <w:rFonts w:ascii="Arial" w:hAnsi="Arial" w:cs="Arial"/>
        </w:rPr>
      </w:pPr>
    </w:p>
    <w:p w:rsidR="00C34D2C" w:rsidRDefault="00C34D2C" w:rsidP="00C34D2C">
      <w:pPr>
        <w:rPr>
          <w:b/>
        </w:rPr>
      </w:pPr>
    </w:p>
    <w:p w:rsidR="00C34D2C" w:rsidRDefault="003849E5" w:rsidP="00C34D2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É</w:t>
      </w:r>
      <w:r w:rsidR="00C34D2C">
        <w:rPr>
          <w:sz w:val="20"/>
        </w:rPr>
        <w:t xml:space="preserve"> submetido a exame desta Procuradoria, para parecer prévio, o Projeto de Lei do Legislativo em epígrafe, que altera as Leis nºs. 7.855/96, 10.028/06, 10.428/08 e 10.939/10, incluindo a expressão Nico Fagundes na denominação Acampamento Farroupilha.</w:t>
      </w:r>
    </w:p>
    <w:p w:rsidR="00C34D2C" w:rsidRDefault="00C34D2C" w:rsidP="00C34D2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Na forma do que dispõe a Carta Magna, é da competência dos Municípios legislar sobre assuntos de interesse local (art. 30, inciso).</w:t>
      </w:r>
    </w:p>
    <w:p w:rsidR="00C34D2C" w:rsidRDefault="00C34D2C" w:rsidP="00C34D2C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incisos II e III).</w:t>
      </w:r>
    </w:p>
    <w:p w:rsidR="00C34D2C" w:rsidRDefault="00C34D2C" w:rsidP="00C34D2C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 matéria objeto da proposição se insere no âmbito de competência municipal, </w:t>
      </w:r>
      <w:r w:rsidR="004B34E3">
        <w:rPr>
          <w:rFonts w:ascii="Arial" w:hAnsi="Arial" w:cs="Arial"/>
          <w:sz w:val="20"/>
          <w:szCs w:val="20"/>
        </w:rPr>
        <w:t xml:space="preserve">inexistindo </w:t>
      </w:r>
      <w:r>
        <w:rPr>
          <w:rFonts w:ascii="Arial" w:hAnsi="Arial" w:cs="Arial"/>
          <w:sz w:val="20"/>
          <w:szCs w:val="20"/>
        </w:rPr>
        <w:t>óbice</w:t>
      </w:r>
      <w:r w:rsidR="004B34E3">
        <w:rPr>
          <w:rFonts w:ascii="Arial" w:hAnsi="Arial" w:cs="Arial"/>
          <w:sz w:val="20"/>
          <w:szCs w:val="20"/>
        </w:rPr>
        <w:t xml:space="preserve"> jurídico</w:t>
      </w:r>
      <w:r>
        <w:rPr>
          <w:rFonts w:ascii="Arial" w:hAnsi="Arial" w:cs="Arial"/>
          <w:sz w:val="20"/>
          <w:szCs w:val="20"/>
        </w:rPr>
        <w:t xml:space="preserve"> à tramitação.</w:t>
      </w:r>
    </w:p>
    <w:p w:rsidR="00C34D2C" w:rsidRDefault="00C34D2C" w:rsidP="00C34D2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É o parecer</w:t>
      </w:r>
      <w:r w:rsidR="004B34E3">
        <w:rPr>
          <w:sz w:val="20"/>
        </w:rPr>
        <w:t xml:space="preserve">, </w:t>
      </w:r>
      <w:r w:rsidR="004B34E3">
        <w:rPr>
          <w:i/>
          <w:sz w:val="20"/>
        </w:rPr>
        <w:t>sub censura</w:t>
      </w:r>
      <w:r>
        <w:rPr>
          <w:sz w:val="20"/>
        </w:rPr>
        <w:t>.</w:t>
      </w:r>
    </w:p>
    <w:p w:rsidR="00C34D2C" w:rsidRDefault="00C34D2C" w:rsidP="00C34D2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Em </w:t>
      </w:r>
      <w:r w:rsidR="004B34E3">
        <w:rPr>
          <w:sz w:val="20"/>
        </w:rPr>
        <w:t>1</w:t>
      </w:r>
      <w:r w:rsidR="004574DA">
        <w:rPr>
          <w:sz w:val="20"/>
        </w:rPr>
        <w:t>4</w:t>
      </w:r>
      <w:r w:rsidR="004B34E3">
        <w:rPr>
          <w:sz w:val="20"/>
        </w:rPr>
        <w:t xml:space="preserve"> </w:t>
      </w:r>
      <w:r>
        <w:rPr>
          <w:sz w:val="20"/>
        </w:rPr>
        <w:t xml:space="preserve">de </w:t>
      </w:r>
      <w:r w:rsidR="004B34E3">
        <w:rPr>
          <w:sz w:val="20"/>
        </w:rPr>
        <w:t>setembro</w:t>
      </w:r>
      <w:r>
        <w:rPr>
          <w:sz w:val="20"/>
        </w:rPr>
        <w:t xml:space="preserve"> de 2.01</w:t>
      </w:r>
      <w:r w:rsidR="004B34E3">
        <w:rPr>
          <w:sz w:val="20"/>
        </w:rPr>
        <w:t>5</w:t>
      </w:r>
      <w:r>
        <w:rPr>
          <w:sz w:val="20"/>
        </w:rPr>
        <w:t>.</w:t>
      </w:r>
    </w:p>
    <w:p w:rsidR="00C34D2C" w:rsidRDefault="00C34D2C" w:rsidP="00C34D2C">
      <w:pPr>
        <w:pStyle w:val="Corpodetexto"/>
        <w:ind w:firstLine="1418"/>
        <w:jc w:val="both"/>
      </w:pPr>
    </w:p>
    <w:p w:rsidR="00C34D2C" w:rsidRDefault="00C34D2C" w:rsidP="00C34D2C">
      <w:pPr>
        <w:pStyle w:val="Corpodetexto"/>
        <w:ind w:firstLine="1418"/>
        <w:jc w:val="both"/>
      </w:pPr>
    </w:p>
    <w:p w:rsidR="00C34D2C" w:rsidRDefault="00C34D2C" w:rsidP="00C34D2C">
      <w:pPr>
        <w:pStyle w:val="Corpodetexto"/>
        <w:jc w:val="both"/>
      </w:pPr>
    </w:p>
    <w:p w:rsidR="00C34D2C" w:rsidRDefault="00C34D2C" w:rsidP="00C34D2C">
      <w:pPr>
        <w:pStyle w:val="Corpodetexto"/>
        <w:jc w:val="both"/>
        <w:rPr>
          <w:sz w:val="20"/>
        </w:rPr>
      </w:pPr>
      <w:r>
        <w:rPr>
          <w:sz w:val="20"/>
        </w:rPr>
        <w:tab/>
      </w:r>
      <w:r w:rsidR="004B34E3">
        <w:rPr>
          <w:sz w:val="20"/>
        </w:rPr>
        <w:t xml:space="preserve">  </w:t>
      </w:r>
      <w:r>
        <w:rPr>
          <w:sz w:val="20"/>
        </w:rPr>
        <w:t>Claudio Roberto Velasquez</w:t>
      </w:r>
    </w:p>
    <w:p w:rsidR="00C34D2C" w:rsidRDefault="00C34D2C" w:rsidP="00C34D2C">
      <w:pPr>
        <w:pStyle w:val="Corpodetex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Procurador-</w:t>
      </w:r>
      <w:r w:rsidR="004B34E3">
        <w:rPr>
          <w:sz w:val="16"/>
          <w:szCs w:val="16"/>
        </w:rPr>
        <w:t>Geral-</w:t>
      </w:r>
      <w:r>
        <w:rPr>
          <w:sz w:val="16"/>
          <w:szCs w:val="16"/>
        </w:rPr>
        <w:t>OAB/RS 18.594</w:t>
      </w:r>
    </w:p>
    <w:p w:rsidR="00C34D2C" w:rsidRDefault="00C34D2C" w:rsidP="00C34D2C"/>
    <w:p w:rsidR="00C34D2C" w:rsidRDefault="00C34D2C" w:rsidP="00C34D2C"/>
    <w:p w:rsidR="00C34D2C" w:rsidRDefault="00C34D2C" w:rsidP="00C34D2C"/>
    <w:p w:rsidR="00C34D2C" w:rsidRDefault="00C34D2C" w:rsidP="00C34D2C"/>
    <w:p w:rsidR="00C34D2C" w:rsidRDefault="00C34D2C" w:rsidP="00C34D2C"/>
    <w:p w:rsidR="0030749A" w:rsidRDefault="0030749A"/>
    <w:sectPr w:rsidR="00307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2C"/>
    <w:rsid w:val="0030749A"/>
    <w:rsid w:val="003849E5"/>
    <w:rsid w:val="004574DA"/>
    <w:rsid w:val="004B34E3"/>
    <w:rsid w:val="00C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AC6A-4E15-40A3-942C-F8E3101F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4D2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4D2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34D2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34D2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34D2C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34D2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E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2015-09-14T16:52:00Z</cp:lastPrinted>
  <dcterms:created xsi:type="dcterms:W3CDTF">2015-09-11T19:48:00Z</dcterms:created>
  <dcterms:modified xsi:type="dcterms:W3CDTF">2015-09-14T16:52:00Z</dcterms:modified>
</cp:coreProperties>
</file>