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C6" w:rsidRDefault="003D7AC6" w:rsidP="003D7AC6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3D7AC6" w:rsidRDefault="003D7AC6" w:rsidP="003D7AC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3D7AC6" w:rsidRDefault="003D7AC6" w:rsidP="003D7AC6">
      <w:pPr>
        <w:pStyle w:val="Ttulo1"/>
        <w:ind w:left="0" w:firstLine="0"/>
        <w:rPr>
          <w:sz w:val="20"/>
          <w:szCs w:val="20"/>
        </w:rPr>
      </w:pPr>
    </w:p>
    <w:p w:rsidR="003D7AC6" w:rsidRDefault="003D7AC6" w:rsidP="003D7AC6">
      <w:pPr>
        <w:pStyle w:val="Ttulo1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PARECER Nº </w:t>
      </w:r>
      <w:r>
        <w:rPr>
          <w:sz w:val="20"/>
          <w:szCs w:val="20"/>
        </w:rPr>
        <w:t>553</w:t>
      </w:r>
      <w:r>
        <w:rPr>
          <w:sz w:val="20"/>
          <w:szCs w:val="20"/>
        </w:rPr>
        <w:t>/1</w:t>
      </w:r>
      <w:r>
        <w:rPr>
          <w:sz w:val="20"/>
          <w:szCs w:val="20"/>
        </w:rPr>
        <w:t>5</w:t>
      </w:r>
      <w:r>
        <w:rPr>
          <w:sz w:val="20"/>
          <w:szCs w:val="20"/>
        </w:rPr>
        <w:t>.</w:t>
      </w:r>
    </w:p>
    <w:p w:rsidR="003D7AC6" w:rsidRDefault="003D7AC6" w:rsidP="003D7AC6">
      <w:pPr>
        <w:ind w:left="4536"/>
        <w:jc w:val="center"/>
        <w:rPr>
          <w:rFonts w:ascii="Arial" w:hAnsi="Arial" w:cs="Arial"/>
          <w:b/>
          <w:sz w:val="20"/>
          <w:szCs w:val="20"/>
        </w:rPr>
      </w:pPr>
    </w:p>
    <w:p w:rsidR="003D7AC6" w:rsidRDefault="003D7AC6" w:rsidP="003D7AC6">
      <w:pPr>
        <w:ind w:left="4536"/>
        <w:jc w:val="center"/>
        <w:rPr>
          <w:rFonts w:ascii="Arial" w:hAnsi="Arial" w:cs="Arial"/>
          <w:b/>
          <w:sz w:val="20"/>
          <w:szCs w:val="20"/>
        </w:rPr>
      </w:pPr>
    </w:p>
    <w:p w:rsidR="003D7AC6" w:rsidRDefault="003D7AC6" w:rsidP="003D7AC6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</w:t>
      </w:r>
      <w:r>
        <w:rPr>
          <w:rFonts w:ascii="Arial" w:hAnsi="Arial" w:cs="Arial"/>
          <w:b/>
          <w:sz w:val="20"/>
          <w:szCs w:val="20"/>
        </w:rPr>
        <w:t>243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</w:t>
      </w:r>
    </w:p>
    <w:p w:rsidR="003D7AC6" w:rsidRDefault="003D7AC6" w:rsidP="003D7AC6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              Nº     30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</w:t>
      </w:r>
    </w:p>
    <w:p w:rsidR="003D7AC6" w:rsidRDefault="003D7AC6" w:rsidP="003D7AC6">
      <w:pPr>
        <w:rPr>
          <w:rFonts w:ascii="Arial" w:hAnsi="Arial" w:cs="Arial"/>
          <w:sz w:val="20"/>
          <w:szCs w:val="20"/>
        </w:rPr>
      </w:pPr>
    </w:p>
    <w:p w:rsidR="003D7AC6" w:rsidRDefault="003D7AC6" w:rsidP="003D7AC6">
      <w:pPr>
        <w:jc w:val="center"/>
        <w:rPr>
          <w:rFonts w:ascii="Arial" w:hAnsi="Arial" w:cs="Arial"/>
          <w:b/>
          <w:sz w:val="20"/>
          <w:szCs w:val="20"/>
        </w:rPr>
      </w:pPr>
    </w:p>
    <w:p w:rsidR="003D7AC6" w:rsidRDefault="003D7AC6" w:rsidP="003D7AC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É submetido a exame desta Procuradoria prévio, para parecer prévio, o Projeto de Lei do Executivo em referência, que altera a Lei nº 11.694/14, que autoriza o Poder Executivo a contratar operações de crédito junto à União, por meio da Caixa Econômica Federal (CEF) e operação de crédito externa junto ao Banco de Desenvolvimento da América Latina /Corporação Andina de Fomento (CAF).</w:t>
      </w:r>
    </w:p>
    <w:p w:rsidR="003D7AC6" w:rsidRDefault="003D7AC6" w:rsidP="003D7AC6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Consoante dispõe a Carta da República, compete ao Município legislar sobre assuntos de interesse local e organizar e prestar, diretamente ou mediante concessão ou permissão, os serviços públicos de interesse local (art. 30, incisos I e V).</w:t>
      </w:r>
    </w:p>
    <w:p w:rsidR="003D7AC6" w:rsidRDefault="003D7AC6" w:rsidP="003D7AC6">
      <w:pPr>
        <w:pStyle w:val="Cabealho"/>
        <w:tabs>
          <w:tab w:val="left" w:pos="708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  <w:t>A Lei Orgânica do Município de Porto Alegre, por sua vez, declara a competência deste para prover tudo quanto concerne ao interesse local, para organizar e prestar os serviços públicos de interesse local e os que possuem caráter essencial, e para dispor sobre matéria orçamentária e operações de crédito (arts. 8º, inciso III, 9º, incisos II, e 56, inciso II).</w:t>
      </w:r>
    </w:p>
    <w:p w:rsidR="003D7AC6" w:rsidRDefault="003D7AC6" w:rsidP="003D7AC6">
      <w:pPr>
        <w:pStyle w:val="Cabealho"/>
        <w:tabs>
          <w:tab w:val="left" w:pos="708"/>
        </w:tabs>
        <w:ind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 Lei Complementar nº 101/2000 condiciona a contratação de operações de crédito à prévia autorização em lei específica, dentre outros requisitos a serem demonstrados (art. 32 e seguintes), e a Resolução nº 43/001 do Senado Federal regulamenta a realização de tais operações no âmbito dos Estados e Municípios.</w:t>
      </w:r>
    </w:p>
    <w:p w:rsidR="003D7AC6" w:rsidRDefault="003D7AC6" w:rsidP="003D7AC6">
      <w:pPr>
        <w:pStyle w:val="Cabealho"/>
        <w:tabs>
          <w:tab w:val="left" w:pos="708"/>
        </w:tabs>
        <w:ind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 matéria objeto da proposição</w:t>
      </w:r>
      <w:r w:rsidR="009E0804">
        <w:rPr>
          <w:rFonts w:ascii="Arial" w:hAnsi="Arial" w:cs="Arial"/>
          <w:bCs/>
          <w:sz w:val="20"/>
        </w:rPr>
        <w:t xml:space="preserve"> se </w:t>
      </w:r>
      <w:r>
        <w:rPr>
          <w:rFonts w:ascii="Arial" w:hAnsi="Arial" w:cs="Arial"/>
          <w:bCs/>
          <w:sz w:val="20"/>
        </w:rPr>
        <w:t xml:space="preserve">insere no âmbito de competência municipal, inexistindo óbice </w:t>
      </w:r>
      <w:r w:rsidR="009E0804">
        <w:rPr>
          <w:rFonts w:ascii="Arial" w:hAnsi="Arial" w:cs="Arial"/>
          <w:bCs/>
          <w:sz w:val="20"/>
        </w:rPr>
        <w:t xml:space="preserve">jurídico </w:t>
      </w:r>
      <w:bookmarkStart w:id="0" w:name="_GoBack"/>
      <w:bookmarkEnd w:id="0"/>
      <w:r>
        <w:rPr>
          <w:rFonts w:ascii="Arial" w:hAnsi="Arial" w:cs="Arial"/>
          <w:bCs/>
          <w:sz w:val="20"/>
        </w:rPr>
        <w:t>à tramitação.</w:t>
      </w:r>
    </w:p>
    <w:p w:rsidR="003D7AC6" w:rsidRDefault="003D7AC6" w:rsidP="003D7A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3D7AC6" w:rsidRDefault="003D7AC6" w:rsidP="003D7AC6">
      <w:pPr>
        <w:pStyle w:val="Corpodetexto"/>
        <w:ind w:firstLine="708"/>
        <w:rPr>
          <w:i/>
          <w:sz w:val="20"/>
        </w:rPr>
      </w:pPr>
    </w:p>
    <w:p w:rsidR="003D7AC6" w:rsidRDefault="003D7AC6" w:rsidP="003D7AC6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3D7AC6" w:rsidRDefault="003D7AC6" w:rsidP="003D7AC6">
      <w:pPr>
        <w:pStyle w:val="Cabealho"/>
        <w:tabs>
          <w:tab w:val="left" w:pos="708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Cs/>
          <w:sz w:val="20"/>
        </w:rPr>
        <w:t xml:space="preserve">Em </w:t>
      </w:r>
      <w:r>
        <w:rPr>
          <w:rFonts w:ascii="Arial" w:hAnsi="Arial" w:cs="Arial"/>
          <w:bCs/>
          <w:sz w:val="20"/>
        </w:rPr>
        <w:t>3</w:t>
      </w:r>
      <w:r>
        <w:rPr>
          <w:rFonts w:ascii="Arial" w:hAnsi="Arial" w:cs="Arial"/>
          <w:bCs/>
          <w:sz w:val="20"/>
        </w:rPr>
        <w:t xml:space="preserve">0 de </w:t>
      </w:r>
      <w:r>
        <w:rPr>
          <w:rFonts w:ascii="Arial" w:hAnsi="Arial" w:cs="Arial"/>
          <w:bCs/>
          <w:sz w:val="20"/>
        </w:rPr>
        <w:t>set</w:t>
      </w:r>
      <w:r>
        <w:rPr>
          <w:rFonts w:ascii="Arial" w:hAnsi="Arial" w:cs="Arial"/>
          <w:bCs/>
          <w:sz w:val="20"/>
        </w:rPr>
        <w:t>embro de 201</w:t>
      </w:r>
      <w:r>
        <w:rPr>
          <w:rFonts w:ascii="Arial" w:hAnsi="Arial" w:cs="Arial"/>
          <w:bCs/>
          <w:sz w:val="20"/>
        </w:rPr>
        <w:t>5</w:t>
      </w:r>
      <w:r>
        <w:rPr>
          <w:rFonts w:ascii="Arial" w:hAnsi="Arial" w:cs="Arial"/>
          <w:bCs/>
          <w:sz w:val="20"/>
        </w:rPr>
        <w:t>.</w:t>
      </w:r>
    </w:p>
    <w:p w:rsidR="003D7AC6" w:rsidRDefault="003D7AC6" w:rsidP="003D7AC6">
      <w:pPr>
        <w:jc w:val="both"/>
        <w:rPr>
          <w:rFonts w:ascii="Arial" w:hAnsi="Arial" w:cs="Arial"/>
          <w:sz w:val="20"/>
          <w:szCs w:val="20"/>
        </w:rPr>
      </w:pPr>
    </w:p>
    <w:p w:rsidR="003D7AC6" w:rsidRDefault="003D7AC6" w:rsidP="003D7AC6">
      <w:pPr>
        <w:pStyle w:val="Corpodetexto"/>
        <w:ind w:firstLine="1418"/>
        <w:rPr>
          <w:sz w:val="16"/>
          <w:szCs w:val="16"/>
        </w:rPr>
      </w:pPr>
    </w:p>
    <w:p w:rsidR="003D7AC6" w:rsidRDefault="003D7AC6" w:rsidP="003D7AC6">
      <w:pPr>
        <w:pStyle w:val="Corpodetexto"/>
        <w:ind w:firstLine="1418"/>
        <w:rPr>
          <w:i/>
          <w:sz w:val="16"/>
          <w:szCs w:val="16"/>
        </w:rPr>
      </w:pPr>
    </w:p>
    <w:p w:rsidR="003D7AC6" w:rsidRDefault="003D7AC6" w:rsidP="003D7AC6">
      <w:pPr>
        <w:pStyle w:val="Corpodetexto"/>
        <w:ind w:firstLine="1418"/>
        <w:rPr>
          <w:i/>
          <w:sz w:val="16"/>
          <w:szCs w:val="16"/>
        </w:rPr>
      </w:pPr>
    </w:p>
    <w:p w:rsidR="003D7AC6" w:rsidRDefault="003D7AC6" w:rsidP="003D7AC6">
      <w:pPr>
        <w:ind w:firstLine="11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Claudio Roberto Velasquez</w:t>
      </w:r>
    </w:p>
    <w:p w:rsidR="003D7AC6" w:rsidRDefault="003D7AC6" w:rsidP="003D7AC6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3D7AC6" w:rsidRDefault="003D7AC6" w:rsidP="003D7AC6">
      <w:pPr>
        <w:pStyle w:val="Corpodetexto"/>
        <w:ind w:firstLine="1418"/>
        <w:rPr>
          <w:i/>
          <w:sz w:val="16"/>
          <w:szCs w:val="16"/>
        </w:rPr>
      </w:pPr>
    </w:p>
    <w:p w:rsidR="003D7AC6" w:rsidRDefault="003D7AC6" w:rsidP="003D7AC6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D7AC6" w:rsidRDefault="003D7AC6" w:rsidP="003D7AC6">
      <w:pPr>
        <w:rPr>
          <w:rFonts w:ascii="Arial" w:hAnsi="Arial" w:cs="Arial"/>
          <w:sz w:val="20"/>
          <w:szCs w:val="20"/>
        </w:rPr>
      </w:pPr>
    </w:p>
    <w:p w:rsidR="003D7AC6" w:rsidRDefault="003D7AC6" w:rsidP="003D7AC6"/>
    <w:p w:rsidR="003D7AC6" w:rsidRDefault="003D7AC6" w:rsidP="003D7AC6">
      <w:pPr>
        <w:pStyle w:val="Cabealho"/>
        <w:tabs>
          <w:tab w:val="left" w:pos="708"/>
        </w:tabs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 w:val="20"/>
        </w:rPr>
        <w:tab/>
      </w:r>
    </w:p>
    <w:p w:rsidR="003D7AC6" w:rsidRDefault="003D7AC6" w:rsidP="003D7AC6">
      <w:pPr>
        <w:pStyle w:val="Cabealho"/>
        <w:tabs>
          <w:tab w:val="left" w:pos="708"/>
        </w:tabs>
        <w:jc w:val="both"/>
        <w:rPr>
          <w:rFonts w:ascii="Arial" w:hAnsi="Arial" w:cs="Arial"/>
          <w:bCs/>
          <w:szCs w:val="24"/>
        </w:rPr>
      </w:pPr>
    </w:p>
    <w:p w:rsidR="003D7AC6" w:rsidRDefault="003D7AC6" w:rsidP="003D7AC6">
      <w:pPr>
        <w:rPr>
          <w:rFonts w:ascii="Arial" w:hAnsi="Arial" w:cs="Arial"/>
          <w:sz w:val="16"/>
          <w:szCs w:val="16"/>
        </w:rPr>
      </w:pPr>
    </w:p>
    <w:p w:rsidR="003D7AC6" w:rsidRDefault="003D7AC6" w:rsidP="003D7AC6">
      <w:pPr>
        <w:rPr>
          <w:rFonts w:ascii="Arial" w:hAnsi="Arial" w:cs="Arial"/>
          <w:sz w:val="16"/>
          <w:szCs w:val="16"/>
        </w:rPr>
      </w:pPr>
    </w:p>
    <w:p w:rsidR="003D7AC6" w:rsidRDefault="003D7AC6" w:rsidP="003D7AC6">
      <w:pPr>
        <w:rPr>
          <w:rFonts w:ascii="Arial" w:hAnsi="Arial" w:cs="Arial"/>
          <w:sz w:val="16"/>
          <w:szCs w:val="16"/>
        </w:rPr>
      </w:pPr>
    </w:p>
    <w:p w:rsidR="003D7AC6" w:rsidRDefault="003D7AC6" w:rsidP="003D7AC6">
      <w:pPr>
        <w:rPr>
          <w:rFonts w:ascii="Arial" w:hAnsi="Arial" w:cs="Arial"/>
          <w:sz w:val="16"/>
          <w:szCs w:val="16"/>
        </w:rPr>
      </w:pPr>
    </w:p>
    <w:p w:rsidR="003D7AC6" w:rsidRDefault="003D7AC6" w:rsidP="003D7AC6">
      <w:pPr>
        <w:rPr>
          <w:rFonts w:ascii="Arial" w:hAnsi="Arial" w:cs="Arial"/>
          <w:sz w:val="16"/>
          <w:szCs w:val="16"/>
        </w:rPr>
      </w:pPr>
    </w:p>
    <w:p w:rsidR="003D7AC6" w:rsidRDefault="003D7AC6" w:rsidP="003D7AC6">
      <w:pPr>
        <w:rPr>
          <w:rFonts w:ascii="Arial" w:hAnsi="Arial" w:cs="Arial"/>
          <w:sz w:val="16"/>
          <w:szCs w:val="16"/>
        </w:rPr>
      </w:pPr>
    </w:p>
    <w:p w:rsidR="003D7AC6" w:rsidRDefault="003D7AC6" w:rsidP="003D7AC6">
      <w:pPr>
        <w:rPr>
          <w:rFonts w:ascii="Arial" w:hAnsi="Arial" w:cs="Arial"/>
          <w:sz w:val="16"/>
          <w:szCs w:val="16"/>
        </w:rPr>
      </w:pPr>
    </w:p>
    <w:p w:rsidR="003D7AC6" w:rsidRDefault="003D7AC6" w:rsidP="003D7AC6">
      <w:pPr>
        <w:rPr>
          <w:rFonts w:ascii="Arial" w:hAnsi="Arial" w:cs="Arial"/>
          <w:sz w:val="16"/>
          <w:szCs w:val="16"/>
        </w:rPr>
      </w:pPr>
    </w:p>
    <w:p w:rsidR="003D7AC6" w:rsidRDefault="003D7AC6" w:rsidP="003D7AC6">
      <w:pPr>
        <w:rPr>
          <w:rFonts w:ascii="Arial" w:hAnsi="Arial" w:cs="Arial"/>
          <w:sz w:val="16"/>
          <w:szCs w:val="16"/>
        </w:rPr>
      </w:pPr>
    </w:p>
    <w:p w:rsidR="003D7AC6" w:rsidRDefault="003D7AC6" w:rsidP="003D7AC6">
      <w:pPr>
        <w:pStyle w:val="Cabealho"/>
        <w:tabs>
          <w:tab w:val="left" w:pos="708"/>
        </w:tabs>
        <w:jc w:val="both"/>
        <w:rPr>
          <w:sz w:val="20"/>
        </w:rPr>
      </w:pPr>
      <w:r>
        <w:rPr>
          <w:sz w:val="20"/>
        </w:rPr>
        <w:tab/>
      </w:r>
    </w:p>
    <w:p w:rsidR="003D7AC6" w:rsidRDefault="003D7AC6" w:rsidP="003D7AC6"/>
    <w:p w:rsidR="003D7AC6" w:rsidRDefault="003D7AC6" w:rsidP="003D7AC6"/>
    <w:p w:rsidR="003D7AC6" w:rsidRDefault="003D7AC6" w:rsidP="003D7AC6"/>
    <w:p w:rsidR="003D7AC6" w:rsidRDefault="003D7AC6" w:rsidP="003D7AC6"/>
    <w:p w:rsidR="003D7AC6" w:rsidRDefault="003D7AC6" w:rsidP="003D7AC6"/>
    <w:p w:rsidR="003D7AC6" w:rsidRDefault="003D7AC6" w:rsidP="003D7AC6"/>
    <w:p w:rsidR="00F8671F" w:rsidRDefault="00F8671F"/>
    <w:sectPr w:rsidR="00F8671F" w:rsidSect="009E080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C6"/>
    <w:rsid w:val="003D7AC6"/>
    <w:rsid w:val="009E0804"/>
    <w:rsid w:val="00F8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80911-087D-49E7-A58C-9B38AAB5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D7AC6"/>
    <w:pPr>
      <w:keepNext/>
      <w:ind w:left="1416" w:firstLine="708"/>
      <w:outlineLvl w:val="0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D7AC6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3D7AC6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D7AC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D7AC6"/>
    <w:pPr>
      <w:jc w:val="both"/>
    </w:pPr>
    <w:rPr>
      <w:rFonts w:ascii="Arial" w:hAnsi="Arial" w:cs="Arial"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3D7AC6"/>
    <w:rPr>
      <w:rFonts w:ascii="Arial" w:eastAsia="Times New Roman" w:hAnsi="Arial" w:cs="Arial"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2015-09-30T13:31:00Z</dcterms:created>
  <dcterms:modified xsi:type="dcterms:W3CDTF">2015-09-30T13:35:00Z</dcterms:modified>
</cp:coreProperties>
</file>