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4D" w:rsidRDefault="00DD284D" w:rsidP="00DD284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DD284D" w:rsidRDefault="00DD284D" w:rsidP="00DD284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DD284D" w:rsidRDefault="00DD284D" w:rsidP="00DD284D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404058">
        <w:rPr>
          <w:rFonts w:ascii="Arial" w:hAnsi="Arial" w:cs="Arial"/>
          <w:sz w:val="20"/>
        </w:rPr>
        <w:t>28</w:t>
      </w:r>
      <w:r>
        <w:rPr>
          <w:rFonts w:ascii="Arial" w:hAnsi="Arial" w:cs="Arial"/>
          <w:sz w:val="20"/>
        </w:rPr>
        <w:t>/16.</w:t>
      </w:r>
    </w:p>
    <w:p w:rsidR="00DD284D" w:rsidRDefault="00DD284D" w:rsidP="00DD284D">
      <w:pPr>
        <w:jc w:val="center"/>
        <w:rPr>
          <w:rFonts w:ascii="Arial" w:hAnsi="Arial" w:cs="Arial"/>
          <w:b/>
          <w:sz w:val="20"/>
          <w:szCs w:val="20"/>
        </w:rPr>
      </w:pPr>
    </w:p>
    <w:p w:rsidR="00DD284D" w:rsidRDefault="00DD284D" w:rsidP="00DD284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DD284D" w:rsidRDefault="00DD284D" w:rsidP="00DD284D">
      <w:pPr>
        <w:rPr>
          <w:rFonts w:ascii="Arial" w:hAnsi="Arial" w:cs="Arial"/>
          <w:sz w:val="20"/>
          <w:szCs w:val="20"/>
        </w:rPr>
      </w:pPr>
    </w:p>
    <w:p w:rsidR="00DD284D" w:rsidRDefault="00DD284D" w:rsidP="00DD284D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 w:rsidR="007B7E5A">
        <w:rPr>
          <w:rFonts w:ascii="Arial" w:hAnsi="Arial" w:cs="Arial"/>
          <w:b/>
          <w:sz w:val="20"/>
          <w:szCs w:val="20"/>
        </w:rPr>
        <w:t>2831</w:t>
      </w:r>
      <w:r>
        <w:rPr>
          <w:rFonts w:ascii="Arial" w:hAnsi="Arial" w:cs="Arial"/>
          <w:b/>
          <w:sz w:val="20"/>
          <w:szCs w:val="20"/>
        </w:rPr>
        <w:t>/15.</w:t>
      </w:r>
    </w:p>
    <w:p w:rsidR="00DD284D" w:rsidRDefault="00DD284D" w:rsidP="00DD284D">
      <w:pPr>
        <w:pStyle w:val="Ttulo2"/>
        <w:rPr>
          <w:sz w:val="20"/>
          <w:szCs w:val="20"/>
        </w:rPr>
      </w:pPr>
      <w:r>
        <w:rPr>
          <w:sz w:val="20"/>
          <w:szCs w:val="20"/>
        </w:rPr>
        <w:t xml:space="preserve">PLL          Nº        </w:t>
      </w:r>
      <w:r w:rsidR="007B7E5A">
        <w:rPr>
          <w:sz w:val="20"/>
          <w:szCs w:val="20"/>
        </w:rPr>
        <w:t>279</w:t>
      </w:r>
      <w:r>
        <w:rPr>
          <w:sz w:val="20"/>
          <w:szCs w:val="20"/>
        </w:rPr>
        <w:t>/15.</w:t>
      </w:r>
    </w:p>
    <w:p w:rsidR="00DD284D" w:rsidRDefault="00DD284D" w:rsidP="00DD284D">
      <w:pPr>
        <w:ind w:left="4500"/>
        <w:rPr>
          <w:rFonts w:ascii="Arial" w:hAnsi="Arial" w:cs="Arial"/>
          <w:sz w:val="20"/>
          <w:szCs w:val="20"/>
        </w:rPr>
      </w:pPr>
    </w:p>
    <w:p w:rsidR="00DD284D" w:rsidRDefault="00DD284D" w:rsidP="00DD284D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Executivo em epígrafe, que inclui o evento Porto Alegre Salsa Congress no Anexo II da Lei nº 10.903, de 31 de maio de 2010 – que institui o Calendário de Eventos de Porto Alegre e o calendário Mensal de Atividades de Porto Alegre, e alterações posteriores, no segundo ou terceiro domingo de cada mês.</w:t>
      </w:r>
    </w:p>
    <w:p w:rsidR="00DD284D" w:rsidRDefault="00DD284D" w:rsidP="00DD284D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Na forma do que dispõe a Carta Magna, é </w:t>
      </w:r>
      <w:proofErr w:type="gramStart"/>
      <w:r>
        <w:rPr>
          <w:sz w:val="20"/>
        </w:rPr>
        <w:t>da</w:t>
      </w:r>
      <w:proofErr w:type="gramEnd"/>
      <w:r>
        <w:rPr>
          <w:sz w:val="20"/>
        </w:rPr>
        <w:t xml:space="preserve"> competência dos Municípios legislar sobre assuntos de interesse local (art. 30, inciso I).</w:t>
      </w:r>
    </w:p>
    <w:p w:rsidR="00DD284D" w:rsidRDefault="00DD284D" w:rsidP="00DD284D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DD284D" w:rsidRDefault="00DD284D" w:rsidP="00DD284D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DD284D" w:rsidRDefault="00DD284D" w:rsidP="00DD284D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 xml:space="preserve">É o parecer, </w:t>
      </w:r>
      <w:r>
        <w:rPr>
          <w:i/>
          <w:sz w:val="20"/>
        </w:rPr>
        <w:t>sub censura</w:t>
      </w:r>
      <w:r>
        <w:rPr>
          <w:sz w:val="20"/>
        </w:rPr>
        <w:t>.</w:t>
      </w:r>
    </w:p>
    <w:p w:rsidR="00DD284D" w:rsidRDefault="00DD284D" w:rsidP="00DD284D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 xml:space="preserve">Em </w:t>
      </w:r>
      <w:r w:rsidR="00EE5B02">
        <w:rPr>
          <w:sz w:val="20"/>
        </w:rPr>
        <w:t>04</w:t>
      </w:r>
      <w:r>
        <w:rPr>
          <w:sz w:val="20"/>
        </w:rPr>
        <w:t xml:space="preserve"> de </w:t>
      </w:r>
      <w:r w:rsidR="00EE5B02">
        <w:rPr>
          <w:sz w:val="20"/>
        </w:rPr>
        <w:t>fevereiro</w:t>
      </w:r>
      <w:r>
        <w:rPr>
          <w:sz w:val="20"/>
        </w:rPr>
        <w:t xml:space="preserve"> de 201</w:t>
      </w:r>
      <w:r w:rsidR="00EE5B02">
        <w:rPr>
          <w:sz w:val="20"/>
        </w:rPr>
        <w:t>6</w:t>
      </w:r>
      <w:bookmarkStart w:id="0" w:name="_GoBack"/>
      <w:bookmarkEnd w:id="0"/>
      <w:r>
        <w:rPr>
          <w:sz w:val="20"/>
        </w:rPr>
        <w:t>.</w:t>
      </w:r>
    </w:p>
    <w:p w:rsidR="00DD284D" w:rsidRDefault="00DD284D" w:rsidP="00DD284D">
      <w:pPr>
        <w:pStyle w:val="Corpodetexto"/>
        <w:ind w:firstLine="1418"/>
        <w:jc w:val="both"/>
        <w:rPr>
          <w:sz w:val="20"/>
        </w:rPr>
      </w:pPr>
    </w:p>
    <w:p w:rsidR="00DD284D" w:rsidRDefault="00DD284D" w:rsidP="00DD284D">
      <w:pPr>
        <w:pStyle w:val="Corpodetexto"/>
        <w:ind w:firstLine="1418"/>
        <w:jc w:val="both"/>
        <w:rPr>
          <w:sz w:val="20"/>
        </w:rPr>
      </w:pPr>
    </w:p>
    <w:p w:rsidR="00DD284D" w:rsidRDefault="00DD284D" w:rsidP="00DD284D">
      <w:pPr>
        <w:pStyle w:val="Corpodetexto"/>
        <w:jc w:val="both"/>
        <w:rPr>
          <w:sz w:val="20"/>
        </w:rPr>
      </w:pPr>
    </w:p>
    <w:p w:rsidR="00DD284D" w:rsidRDefault="00DD284D" w:rsidP="00DD284D">
      <w:pPr>
        <w:pStyle w:val="Corpodetexto"/>
        <w:jc w:val="both"/>
        <w:rPr>
          <w:sz w:val="20"/>
        </w:rPr>
      </w:pPr>
      <w:r>
        <w:rPr>
          <w:sz w:val="20"/>
        </w:rPr>
        <w:tab/>
        <w:t>Claudio Roberto Velasquez</w:t>
      </w:r>
    </w:p>
    <w:p w:rsidR="00DD284D" w:rsidRDefault="00DD284D" w:rsidP="00DD284D">
      <w:pPr>
        <w:pStyle w:val="Corpodetexto"/>
        <w:jc w:val="both"/>
        <w:rPr>
          <w:sz w:val="20"/>
        </w:rPr>
      </w:pPr>
      <w:r>
        <w:rPr>
          <w:sz w:val="20"/>
        </w:rPr>
        <w:tab/>
        <w:t>Procurador-OAB/RS 18.594</w:t>
      </w:r>
    </w:p>
    <w:p w:rsidR="00DD284D" w:rsidRDefault="00DD284D" w:rsidP="00DD284D"/>
    <w:p w:rsidR="00DD284D" w:rsidRDefault="00DD284D" w:rsidP="00DD284D"/>
    <w:p w:rsidR="00DD284D" w:rsidRDefault="00DD284D" w:rsidP="00DD284D"/>
    <w:p w:rsidR="00624E71" w:rsidRDefault="00624E71"/>
    <w:sectPr w:rsidR="00624E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4D"/>
    <w:rsid w:val="00404058"/>
    <w:rsid w:val="00624E71"/>
    <w:rsid w:val="007B7E5A"/>
    <w:rsid w:val="00DD284D"/>
    <w:rsid w:val="00EE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FA3E-9D5C-4BDE-956E-49A74194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D284D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D284D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284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D284D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D284D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D284D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DD284D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DD284D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5B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B0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2016-02-04T13:19:00Z</cp:lastPrinted>
  <dcterms:created xsi:type="dcterms:W3CDTF">2016-02-04T11:51:00Z</dcterms:created>
  <dcterms:modified xsi:type="dcterms:W3CDTF">2016-02-04T13:19:00Z</dcterms:modified>
</cp:coreProperties>
</file>