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D2" w:rsidRDefault="002C26D2" w:rsidP="002C26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2C26D2" w:rsidRDefault="002C26D2" w:rsidP="002C26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C26D2" w:rsidRDefault="002C26D2" w:rsidP="002C26D2">
      <w:pPr>
        <w:rPr>
          <w:rFonts w:ascii="Arial" w:hAnsi="Arial" w:cs="Arial"/>
          <w:sz w:val="20"/>
          <w:szCs w:val="20"/>
        </w:rPr>
      </w:pPr>
    </w:p>
    <w:p w:rsidR="002C26D2" w:rsidRDefault="002C26D2" w:rsidP="002C26D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BA69A6">
        <w:rPr>
          <w:rFonts w:ascii="Arial" w:hAnsi="Arial" w:cs="Arial"/>
          <w:sz w:val="20"/>
        </w:rPr>
        <w:t>2</w:t>
      </w:r>
      <w:r w:rsidR="00D4329B">
        <w:rPr>
          <w:rFonts w:ascii="Arial" w:hAnsi="Arial" w:cs="Arial"/>
          <w:sz w:val="20"/>
        </w:rPr>
        <w:t>8</w:t>
      </w:r>
      <w:r w:rsidR="00BA69A6">
        <w:rPr>
          <w:rFonts w:ascii="Arial" w:hAnsi="Arial" w:cs="Arial"/>
          <w:sz w:val="20"/>
        </w:rPr>
        <w:t>7</w:t>
      </w:r>
      <w:r w:rsidR="00D4329B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16.</w:t>
      </w:r>
    </w:p>
    <w:p w:rsidR="002C26D2" w:rsidRDefault="002C26D2" w:rsidP="002C26D2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2C26D2" w:rsidRDefault="002C26D2" w:rsidP="002C26D2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2C26D2" w:rsidRDefault="002C26D2" w:rsidP="002C26D2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2839/15.</w:t>
      </w:r>
    </w:p>
    <w:p w:rsidR="002C26D2" w:rsidRDefault="002C26D2" w:rsidP="002C26D2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280/15.</w:t>
      </w:r>
    </w:p>
    <w:p w:rsidR="002C26D2" w:rsidRDefault="002C26D2" w:rsidP="002C26D2">
      <w:pPr>
        <w:rPr>
          <w:rFonts w:ascii="Arial" w:hAnsi="Arial" w:cs="Arial"/>
          <w:sz w:val="20"/>
          <w:szCs w:val="20"/>
        </w:rPr>
      </w:pPr>
    </w:p>
    <w:p w:rsidR="002C26D2" w:rsidRDefault="002C26D2" w:rsidP="002C26D2">
      <w:pPr>
        <w:rPr>
          <w:rFonts w:ascii="Arial" w:hAnsi="Arial" w:cs="Arial"/>
          <w:b/>
          <w:sz w:val="20"/>
          <w:szCs w:val="20"/>
        </w:rPr>
      </w:pPr>
    </w:p>
    <w:p w:rsidR="002C26D2" w:rsidRDefault="002C26D2" w:rsidP="002C26D2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ASFR – Associação dos Ferroviários Sul-Riograndenses.</w:t>
      </w:r>
    </w:p>
    <w:p w:rsidR="002C26D2" w:rsidRDefault="002C26D2" w:rsidP="002C26D2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matéria objeto da proposição se insere no âmbito de competência do Município, na forma prevista no artigo 30, inciso I, da Constituição da República, e na Lei Orgânica, artigo 9º, inciso II, </w:t>
      </w:r>
      <w:r w:rsidR="000849D4">
        <w:rPr>
          <w:rFonts w:cs="Arial"/>
          <w:sz w:val="20"/>
        </w:rPr>
        <w:t>in</w:t>
      </w:r>
      <w:r>
        <w:rPr>
          <w:rFonts w:cs="Arial"/>
          <w:sz w:val="20"/>
        </w:rPr>
        <w:t>existindo óbice</w:t>
      </w:r>
      <w:r w:rsidR="000849D4">
        <w:rPr>
          <w:rFonts w:cs="Arial"/>
          <w:sz w:val="20"/>
        </w:rPr>
        <w:t xml:space="preserve"> jurídico à tramitação, sob tal enfoque.</w:t>
      </w:r>
    </w:p>
    <w:p w:rsidR="00D4329B" w:rsidRDefault="000849D4" w:rsidP="00D4329B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De ressalvar,</w:t>
      </w:r>
      <w:r w:rsidR="00D4329B">
        <w:rPr>
          <w:sz w:val="20"/>
        </w:rPr>
        <w:t xml:space="preserve"> contudo, que a Lei Municipal nº 2.926/66 estabelece, no seu artigo 1º, os requisitos necessários à declaração de utilidade pública, que devem ser comprovados pelas sociedades civis e associações.</w:t>
      </w:r>
    </w:p>
    <w:p w:rsidR="00D4329B" w:rsidRDefault="00D4329B" w:rsidP="00D4329B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No caso em exame, vênia concedida, não resta evidenciado nos autos que a entidade atende a formalidade prevista na letra "d" do mencionado comando normativo.</w:t>
      </w:r>
    </w:p>
    <w:p w:rsidR="002C26D2" w:rsidRDefault="002C26D2" w:rsidP="002C26D2">
      <w:pPr>
        <w:pStyle w:val="Corpodetexto"/>
        <w:jc w:val="both"/>
        <w:rPr>
          <w:sz w:val="20"/>
        </w:rPr>
      </w:pPr>
      <w:bookmarkStart w:id="0" w:name="_GoBack"/>
      <w:bookmarkEnd w:id="0"/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2C26D2" w:rsidRDefault="002C26D2" w:rsidP="002C26D2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2C26D2" w:rsidRDefault="002C26D2" w:rsidP="002C26D2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2C26D2" w:rsidRDefault="00C3778F" w:rsidP="002C26D2">
      <w:pPr>
        <w:pStyle w:val="Corpodetexto"/>
        <w:jc w:val="both"/>
        <w:rPr>
          <w:sz w:val="20"/>
        </w:rPr>
      </w:pPr>
      <w:r>
        <w:rPr>
          <w:sz w:val="20"/>
        </w:rPr>
        <w:tab/>
        <w:t>Em 23</w:t>
      </w:r>
      <w:r w:rsidR="002C26D2">
        <w:rPr>
          <w:sz w:val="20"/>
        </w:rPr>
        <w:t xml:space="preserve"> de maio de 2016.</w:t>
      </w:r>
    </w:p>
    <w:p w:rsidR="002C26D2" w:rsidRDefault="002C26D2" w:rsidP="002C26D2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C26D2" w:rsidRDefault="002C26D2" w:rsidP="002C26D2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C26D2" w:rsidRDefault="002C26D2" w:rsidP="002C26D2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C26D2" w:rsidRDefault="002C26D2" w:rsidP="002C26D2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2C26D2" w:rsidRDefault="002C26D2" w:rsidP="002C26D2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2C26D2" w:rsidRDefault="002C26D2" w:rsidP="002C26D2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C26D2" w:rsidRDefault="002C26D2" w:rsidP="002C26D2">
      <w:pPr>
        <w:rPr>
          <w:rFonts w:ascii="Arial" w:hAnsi="Arial" w:cs="Arial"/>
        </w:rPr>
      </w:pPr>
    </w:p>
    <w:p w:rsidR="002C26D2" w:rsidRDefault="002C26D2" w:rsidP="002C26D2">
      <w:pPr>
        <w:pStyle w:val="Corpodetexto"/>
        <w:jc w:val="both"/>
        <w:rPr>
          <w:rFonts w:cs="Arial"/>
        </w:rPr>
      </w:pPr>
    </w:p>
    <w:p w:rsidR="002C26D2" w:rsidRDefault="002C26D2" w:rsidP="002C26D2">
      <w:pPr>
        <w:pStyle w:val="Corpodetexto"/>
        <w:ind w:firstLine="1418"/>
        <w:jc w:val="both"/>
        <w:rPr>
          <w:rFonts w:cs="Arial"/>
        </w:rPr>
      </w:pPr>
    </w:p>
    <w:p w:rsidR="002C26D2" w:rsidRDefault="002C26D2" w:rsidP="002C26D2">
      <w:pPr>
        <w:rPr>
          <w:rFonts w:ascii="Arial" w:hAnsi="Arial" w:cs="Arial"/>
        </w:rPr>
      </w:pPr>
    </w:p>
    <w:p w:rsidR="002C26D2" w:rsidRDefault="002C26D2" w:rsidP="002C26D2">
      <w:pPr>
        <w:rPr>
          <w:rFonts w:ascii="Arial" w:hAnsi="Arial" w:cs="Arial"/>
        </w:rPr>
      </w:pPr>
    </w:p>
    <w:p w:rsidR="002C26D2" w:rsidRDefault="002C26D2" w:rsidP="002C26D2">
      <w:pPr>
        <w:rPr>
          <w:rFonts w:ascii="Arial" w:hAnsi="Arial" w:cs="Arial"/>
        </w:rPr>
      </w:pPr>
    </w:p>
    <w:p w:rsidR="00FB03A5" w:rsidRDefault="00FB03A5"/>
    <w:sectPr w:rsidR="00FB03A5" w:rsidSect="00C377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D2"/>
    <w:rsid w:val="000849D4"/>
    <w:rsid w:val="002C26D2"/>
    <w:rsid w:val="00632390"/>
    <w:rsid w:val="00BA69A6"/>
    <w:rsid w:val="00C3778F"/>
    <w:rsid w:val="00D4329B"/>
    <w:rsid w:val="00DB6C08"/>
    <w:rsid w:val="00F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87373-B27D-4C3B-992C-F465000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26D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26D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C26D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C26D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C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C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2016-05-23T16:38:00Z</cp:lastPrinted>
  <dcterms:created xsi:type="dcterms:W3CDTF">2016-05-18T19:31:00Z</dcterms:created>
  <dcterms:modified xsi:type="dcterms:W3CDTF">2016-05-23T16:38:00Z</dcterms:modified>
</cp:coreProperties>
</file>