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9E" w:rsidRDefault="0039429E" w:rsidP="003942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CAMARA MUNICIPAL DE PORTO ALEGRE</w:t>
      </w:r>
    </w:p>
    <w:p w:rsidR="0039429E" w:rsidRDefault="0039429E" w:rsidP="0039429E">
      <w:pPr>
        <w:pStyle w:val="Ttulo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PROCURADORIA</w:t>
      </w:r>
    </w:p>
    <w:p w:rsidR="0039429E" w:rsidRDefault="0039429E" w:rsidP="0039429E">
      <w:pPr>
        <w:rPr>
          <w:rFonts w:ascii="Arial" w:hAnsi="Arial" w:cs="Arial"/>
          <w:b/>
          <w:sz w:val="20"/>
          <w:szCs w:val="20"/>
        </w:rPr>
      </w:pPr>
    </w:p>
    <w:p w:rsidR="0039429E" w:rsidRDefault="0039429E" w:rsidP="0039429E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Nª 737/15.</w:t>
      </w:r>
    </w:p>
    <w:p w:rsidR="0039429E" w:rsidRDefault="0039429E" w:rsidP="0039429E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39429E" w:rsidRDefault="0039429E" w:rsidP="0039429E">
      <w:pPr>
        <w:pStyle w:val="Ttulo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PROCESSO Nº 2885/15.</w:t>
      </w:r>
    </w:p>
    <w:p w:rsidR="0039429E" w:rsidRDefault="0039429E" w:rsidP="0039429E">
      <w:pPr>
        <w:pStyle w:val="Ttulo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PLL Nº   28</w:t>
      </w:r>
      <w:r w:rsidR="00A614F1">
        <w:rPr>
          <w:rFonts w:ascii="Arial" w:hAnsi="Arial" w:cs="Arial"/>
          <w:b/>
          <w:sz w:val="20"/>
        </w:rPr>
        <w:t>7</w:t>
      </w:r>
      <w:bookmarkStart w:id="0" w:name="_GoBack"/>
      <w:bookmarkEnd w:id="0"/>
      <w:r>
        <w:rPr>
          <w:rFonts w:ascii="Arial" w:hAnsi="Arial" w:cs="Arial"/>
          <w:b/>
          <w:sz w:val="20"/>
        </w:rPr>
        <w:t>/15</w:t>
      </w:r>
      <w:r>
        <w:rPr>
          <w:rFonts w:ascii="Arial" w:hAnsi="Arial" w:cs="Arial"/>
          <w:b/>
          <w:sz w:val="24"/>
          <w:szCs w:val="24"/>
        </w:rPr>
        <w:t>.</w:t>
      </w:r>
    </w:p>
    <w:p w:rsidR="0039429E" w:rsidRDefault="0039429E" w:rsidP="0039429E">
      <w:pPr>
        <w:jc w:val="both"/>
        <w:rPr>
          <w:rFonts w:ascii="Arial" w:hAnsi="Arial" w:cs="Arial"/>
          <w:sz w:val="20"/>
          <w:szCs w:val="20"/>
        </w:rPr>
      </w:pPr>
    </w:p>
    <w:p w:rsidR="0039429E" w:rsidRDefault="0039429E" w:rsidP="003942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Lei em epígrafe, que altera a Lei nº 5.811, de 08 de dezembro de 1986 – que estabelece o Sistema de Classificação de Cargos e Funções da Câmara Municipal de Porto Alegre -, criando a Gratificação pelo Exercício de Atividades </w:t>
      </w:r>
      <w:r w:rsidR="002E1835">
        <w:rPr>
          <w:rFonts w:ascii="Arial" w:hAnsi="Arial" w:cs="Arial"/>
          <w:sz w:val="20"/>
          <w:szCs w:val="20"/>
        </w:rPr>
        <w:t>Especiais e</w:t>
      </w:r>
      <w:r>
        <w:rPr>
          <w:rFonts w:ascii="Arial" w:hAnsi="Arial" w:cs="Arial"/>
          <w:sz w:val="20"/>
          <w:szCs w:val="20"/>
        </w:rPr>
        <w:t xml:space="preserve"> de Apoio em Eventos (GEA), e dá outras providências.</w:t>
      </w:r>
    </w:p>
    <w:p w:rsidR="0039429E" w:rsidRDefault="0039429E" w:rsidP="0039429E">
      <w:pPr>
        <w:pStyle w:val="Normal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forma do que dispõe a Carta Magna, é da competência dos Municípios legislar sobre assuntos de interesse local (art. 30, inciso I).</w:t>
      </w:r>
    </w:p>
    <w:p w:rsidR="0039429E" w:rsidRPr="00DB07DA" w:rsidRDefault="0039429E" w:rsidP="0039429E">
      <w:pPr>
        <w:pStyle w:val="Corpodetexto2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cs="Arial"/>
          <w:sz w:val="20"/>
        </w:rPr>
        <w:tab/>
      </w:r>
      <w:r w:rsidRPr="00DB07DA">
        <w:rPr>
          <w:rFonts w:ascii="Arial" w:hAnsi="Arial" w:cs="Arial"/>
          <w:sz w:val="20"/>
        </w:rPr>
        <w:t>A Lei Orgânica do Município de Porto Alegre, por sua vez, estatui competir a este estabelecer suas leis e atos relativos aos assuntos de interesse local, e afirma a competência privativa da Câmara Municipal para dispor sobre sua organização e funcionamento e deliberar sobre assuntos de sua economia interna.</w:t>
      </w:r>
    </w:p>
    <w:p w:rsidR="0039429E" w:rsidRDefault="0039429E" w:rsidP="0039429E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 O Regimento Interno da Câmara Municipal de Porto Alegre declara a competência da mesma para gerir os assuntos de sua economia interna e para estruturar e administrar seus serviços, constituindo atribuição privativa da Mesa Diretora propor projetos que disponham sobre sua organização, funcionamento, segurança e serviços (artigos 6º, 15, inciso I).</w:t>
      </w:r>
    </w:p>
    <w:p w:rsidR="0039429E" w:rsidRDefault="0039429E" w:rsidP="0039429E">
      <w:pPr>
        <w:pStyle w:val="Normal1"/>
        <w:jc w:val="both"/>
        <w:rPr>
          <w:rFonts w:ascii="Arial" w:hAnsi="Arial" w:cs="Arial"/>
        </w:rPr>
      </w:pPr>
      <w:r>
        <w:t>      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ab/>
        <w:t>A matéria objeto da proposição se insere no âmbito de competência deste Legislativo, não have</w:t>
      </w:r>
      <w:r w:rsidR="00DB07DA">
        <w:rPr>
          <w:rFonts w:ascii="Arial" w:hAnsi="Arial" w:cs="Arial"/>
        </w:rPr>
        <w:t>ndo óbice jurídico à tramitação, sob tal enfoque.</w:t>
      </w:r>
    </w:p>
    <w:p w:rsidR="0069489A" w:rsidRDefault="00DB07DA" w:rsidP="0039429E">
      <w:pPr>
        <w:pStyle w:val="Normal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ab/>
        <w:t xml:space="preserve">De ressalvar, apenas, que a </w:t>
      </w:r>
      <w:r w:rsidRPr="00DB07DA">
        <w:rPr>
          <w:rFonts w:ascii="Arial" w:hAnsi="Arial" w:cs="Arial"/>
        </w:rPr>
        <w:t>g</w:t>
      </w:r>
      <w:r w:rsidRPr="00DB07DA">
        <w:rPr>
          <w:rFonts w:ascii="Arial" w:hAnsi="Arial" w:cs="Arial"/>
          <w:bCs/>
          <w:iCs/>
        </w:rPr>
        <w:t>ratific</w:t>
      </w:r>
      <w:r>
        <w:rPr>
          <w:rFonts w:ascii="Arial" w:hAnsi="Arial" w:cs="Arial"/>
          <w:bCs/>
          <w:iCs/>
        </w:rPr>
        <w:t xml:space="preserve">ação de serviço, como a em exame, se destina a retribuir a </w:t>
      </w:r>
      <w:r w:rsidR="0069489A">
        <w:rPr>
          <w:rFonts w:ascii="Arial" w:hAnsi="Arial" w:cs="Arial"/>
          <w:bCs/>
          <w:iCs/>
        </w:rPr>
        <w:t>prestação d</w:t>
      </w:r>
      <w:r>
        <w:rPr>
          <w:rFonts w:ascii="Arial" w:hAnsi="Arial" w:cs="Arial"/>
          <w:bCs/>
          <w:iCs/>
        </w:rPr>
        <w:t xml:space="preserve">e serviços inerentes ao cargo ocupado pelo servidor </w:t>
      </w:r>
      <w:r w:rsidR="0069489A">
        <w:rPr>
          <w:rFonts w:ascii="Arial" w:hAnsi="Arial" w:cs="Arial"/>
          <w:bCs/>
          <w:iCs/>
        </w:rPr>
        <w:t xml:space="preserve">realizados </w:t>
      </w:r>
      <w:r>
        <w:rPr>
          <w:rFonts w:ascii="Arial" w:hAnsi="Arial" w:cs="Arial"/>
          <w:bCs/>
          <w:iCs/>
        </w:rPr>
        <w:t>em condições anormais ou excepcionais, ou que lhe acarretem maiores ônus.</w:t>
      </w:r>
    </w:p>
    <w:p w:rsidR="0069489A" w:rsidRPr="0069489A" w:rsidRDefault="0069489A" w:rsidP="0069489A">
      <w:pPr>
        <w:ind w:right="18" w:firstLine="708"/>
        <w:jc w:val="both"/>
        <w:rPr>
          <w:rFonts w:ascii="Arial" w:hAnsi="Arial" w:cs="Arial"/>
          <w:sz w:val="20"/>
          <w:szCs w:val="20"/>
        </w:rPr>
      </w:pPr>
      <w:r w:rsidRPr="0069489A">
        <w:rPr>
          <w:rFonts w:ascii="Arial" w:hAnsi="Arial" w:cs="Arial"/>
          <w:bCs/>
          <w:iCs/>
          <w:sz w:val="20"/>
          <w:szCs w:val="20"/>
        </w:rPr>
        <w:t xml:space="preserve">É o que ensina </w:t>
      </w:r>
      <w:r w:rsidRPr="0069489A">
        <w:rPr>
          <w:rFonts w:ascii="Arial" w:hAnsi="Arial" w:cs="Arial"/>
          <w:sz w:val="20"/>
          <w:szCs w:val="20"/>
        </w:rPr>
        <w:t>Hely Lopes Meirelles (“Direito Administrativo Brasileiro”, Malheiros Editores, 32ª edição, pág. 494)</w:t>
      </w:r>
      <w:r>
        <w:rPr>
          <w:rFonts w:ascii="Arial" w:hAnsi="Arial" w:cs="Arial"/>
          <w:sz w:val="20"/>
          <w:szCs w:val="20"/>
        </w:rPr>
        <w:t>:</w:t>
      </w:r>
    </w:p>
    <w:p w:rsidR="0069489A" w:rsidRPr="0069489A" w:rsidRDefault="0069489A" w:rsidP="0069489A">
      <w:pPr>
        <w:ind w:left="720" w:right="18"/>
        <w:jc w:val="both"/>
        <w:rPr>
          <w:rFonts w:ascii="Arial" w:hAnsi="Arial" w:cs="Arial"/>
          <w:sz w:val="20"/>
          <w:szCs w:val="20"/>
        </w:rPr>
      </w:pPr>
    </w:p>
    <w:p w:rsidR="002F294A" w:rsidRDefault="0069489A" w:rsidP="002F294A">
      <w:pPr>
        <w:ind w:left="709" w:right="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b/>
          <w:bCs/>
          <w:i/>
          <w:iCs/>
          <w:sz w:val="16"/>
          <w:szCs w:val="16"/>
        </w:rPr>
        <w:t>Gratificação de serviço (propter laborem)</w:t>
      </w:r>
      <w:r>
        <w:rPr>
          <w:rFonts w:ascii="Arial" w:hAnsi="Arial" w:cs="Arial"/>
          <w:sz w:val="16"/>
          <w:szCs w:val="16"/>
        </w:rPr>
        <w:t xml:space="preserve"> é aquela que a Administração institui para recompensar riscos ou ônus decorrentes de trabalhos normais executados em condições anormais de perigo ou de encargos para o servidor, tais como os serviços realizados com risco de vida e saúde ou prestados fora do expediente, da sede ou das atribuições ordinárias do cargo. O que caracteriza essa modalidade de gratificação é sua vinculação a um serviço comum, executado em condições excepcionais para o funcionário, ou a uma situação normal do serviço mas que acarreta despesas extraordinárias para o servidor. </w:t>
      </w:r>
      <w:r w:rsidR="002F294A">
        <w:rPr>
          <w:rFonts w:ascii="Arial" w:hAnsi="Arial" w:cs="Arial"/>
          <w:sz w:val="16"/>
          <w:szCs w:val="16"/>
        </w:rPr>
        <w:t xml:space="preserve"> </w:t>
      </w:r>
    </w:p>
    <w:p w:rsidR="0069489A" w:rsidRDefault="0069489A" w:rsidP="002F294A">
      <w:pPr>
        <w:ind w:left="709" w:right="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Nessa categoria de gratificações entram, dentre outras, as que a Administração paga pelos trabalhos realizados com risco de vida e saúde; pelos serviços extraordinários; pelo exercício do Magistério; pela representação de gabinete; pelo exercício em determinadas zonas ou locais; pela execução de trabalho técnico ou científico não decorrente do cargo; pela participação em banca examinadora ou comissão de estudo ou de concu</w:t>
      </w:r>
      <w:r w:rsidR="00DA6BA7">
        <w:rPr>
          <w:rFonts w:ascii="Arial" w:hAnsi="Arial" w:cs="Arial"/>
          <w:sz w:val="16"/>
          <w:szCs w:val="16"/>
        </w:rPr>
        <w:t xml:space="preserve">rso; pela transferência da sede </w:t>
      </w:r>
      <w:r>
        <w:rPr>
          <w:rFonts w:ascii="Arial" w:hAnsi="Arial" w:cs="Arial"/>
          <w:sz w:val="16"/>
          <w:szCs w:val="16"/>
        </w:rPr>
        <w:t>(ajuda de custo); pela prestação de serviço fora de sede.</w:t>
      </w:r>
      <w:r w:rsidR="00DA6BA7">
        <w:rPr>
          <w:rFonts w:ascii="Arial" w:hAnsi="Arial" w:cs="Arial"/>
          <w:sz w:val="16"/>
          <w:szCs w:val="16"/>
        </w:rPr>
        <w:t xml:space="preserve"> Essas gratificações só </w:t>
      </w:r>
      <w:r>
        <w:rPr>
          <w:rFonts w:ascii="Arial" w:hAnsi="Arial" w:cs="Arial"/>
          <w:sz w:val="16"/>
          <w:szCs w:val="16"/>
        </w:rPr>
        <w:t xml:space="preserve">devem ser percebidas enquanto o servidor está prestando o serviço que as enseja, porque são retribuições pecuniárias </w:t>
      </w:r>
      <w:r>
        <w:rPr>
          <w:rFonts w:ascii="Arial" w:hAnsi="Arial" w:cs="Arial"/>
          <w:b/>
          <w:bCs/>
          <w:i/>
          <w:iCs/>
          <w:sz w:val="16"/>
          <w:szCs w:val="16"/>
        </w:rPr>
        <w:t>pro labore faciendo</w:t>
      </w:r>
      <w:r>
        <w:rPr>
          <w:rFonts w:ascii="Arial" w:hAnsi="Arial" w:cs="Arial"/>
          <w:sz w:val="16"/>
          <w:szCs w:val="16"/>
        </w:rPr>
        <w:t xml:space="preserve"> e </w:t>
      </w:r>
      <w:r>
        <w:rPr>
          <w:rFonts w:ascii="Arial" w:hAnsi="Arial" w:cs="Arial"/>
          <w:b/>
          <w:bCs/>
          <w:i/>
          <w:iCs/>
          <w:sz w:val="16"/>
          <w:szCs w:val="16"/>
        </w:rPr>
        <w:t>propter laborem</w:t>
      </w:r>
      <w:r>
        <w:rPr>
          <w:rFonts w:ascii="Arial" w:hAnsi="Arial" w:cs="Arial"/>
          <w:sz w:val="16"/>
          <w:szCs w:val="16"/>
        </w:rPr>
        <w:t xml:space="preserve">. Cessado o trabalho que lhes dá causa ou desaparecidos os motivos excepcionais e transitórios que as justificam, extingue-se a razão de seu </w:t>
      </w:r>
      <w:r w:rsidR="002E1835">
        <w:rPr>
          <w:rFonts w:ascii="Arial" w:hAnsi="Arial" w:cs="Arial"/>
          <w:sz w:val="16"/>
          <w:szCs w:val="16"/>
        </w:rPr>
        <w:t>pagamento. ”</w:t>
      </w:r>
    </w:p>
    <w:p w:rsidR="0069489A" w:rsidRDefault="0069489A" w:rsidP="0069489A">
      <w:pPr>
        <w:ind w:left="360" w:right="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</w:p>
    <w:p w:rsidR="00DB07DA" w:rsidRDefault="0069489A" w:rsidP="0069489A">
      <w:pPr>
        <w:pStyle w:val="Recuodecorpodetexto"/>
        <w:ind w:firstLine="0"/>
        <w:rPr>
          <w:rFonts w:cs="Arial"/>
          <w:sz w:val="20"/>
        </w:rPr>
      </w:pPr>
      <w:r>
        <w:rPr>
          <w:rFonts w:cs="Arial"/>
          <w:sz w:val="20"/>
        </w:rPr>
        <w:tab/>
        <w:t xml:space="preserve">No caso, o projeto de lei atribui gratificação pelo exercício de atividades especiais e de apoio em eventos aos ocupantes do cargo de Oficial de Manutenção e este não tem qualquer atribuição vinculada a tais atividades - é cargo cujas atribuições são de executar serviços gerais de </w:t>
      </w:r>
      <w:r w:rsidR="002E1835">
        <w:rPr>
          <w:rFonts w:cs="Arial"/>
          <w:sz w:val="20"/>
        </w:rPr>
        <w:t>manutenção de</w:t>
      </w:r>
      <w:r>
        <w:rPr>
          <w:rFonts w:cs="Arial"/>
          <w:sz w:val="20"/>
        </w:rPr>
        <w:t xml:space="preserve"> encanamentos, tubulações e condutos integrantes de instalações hidráulicas, sanitárias e de esgoto.</w:t>
      </w:r>
    </w:p>
    <w:p w:rsidR="0069489A" w:rsidRPr="00DB07DA" w:rsidRDefault="0069489A" w:rsidP="0069489A">
      <w:pPr>
        <w:pStyle w:val="Recuodecorpodetexto"/>
        <w:ind w:firstLine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2F294A">
        <w:rPr>
          <w:rFonts w:cs="Arial"/>
          <w:sz w:val="20"/>
        </w:rPr>
        <w:t xml:space="preserve">Diante disso, com a devida </w:t>
      </w:r>
      <w:r w:rsidR="002E1835">
        <w:rPr>
          <w:rFonts w:cs="Arial"/>
          <w:sz w:val="20"/>
        </w:rPr>
        <w:t>vênia, nesse</w:t>
      </w:r>
      <w:r w:rsidR="00870445">
        <w:rPr>
          <w:rFonts w:cs="Arial"/>
          <w:sz w:val="20"/>
        </w:rPr>
        <w:t xml:space="preserve"> aspecto, porq</w:t>
      </w:r>
      <w:r w:rsidR="002F294A">
        <w:rPr>
          <w:rFonts w:cs="Arial"/>
          <w:sz w:val="20"/>
        </w:rPr>
        <w:t xml:space="preserve">ue induz exercício de </w:t>
      </w:r>
      <w:r w:rsidR="00DA6BA7">
        <w:rPr>
          <w:rFonts w:cs="Arial"/>
          <w:sz w:val="20"/>
        </w:rPr>
        <w:t xml:space="preserve">atividades em desvio de função e pagamento de verba remuneratória </w:t>
      </w:r>
      <w:r w:rsidR="002F294A">
        <w:rPr>
          <w:rFonts w:cs="Arial"/>
          <w:sz w:val="20"/>
        </w:rPr>
        <w:t xml:space="preserve">com desvio de finalidade, não tem amparo </w:t>
      </w:r>
      <w:r w:rsidR="002E1835">
        <w:rPr>
          <w:rFonts w:cs="Arial"/>
          <w:sz w:val="20"/>
        </w:rPr>
        <w:t>em lei</w:t>
      </w:r>
      <w:r w:rsidR="002F294A">
        <w:rPr>
          <w:rFonts w:cs="Arial"/>
          <w:sz w:val="20"/>
        </w:rPr>
        <w:t>.</w:t>
      </w:r>
    </w:p>
    <w:p w:rsidR="0039429E" w:rsidRDefault="0039429E" w:rsidP="0039429E">
      <w:pPr>
        <w:pStyle w:val="Recuodecorpodetexto"/>
        <w:ind w:firstLine="0"/>
        <w:rPr>
          <w:rFonts w:cs="Arial"/>
          <w:sz w:val="20"/>
        </w:rPr>
      </w:pPr>
      <w:r>
        <w:rPr>
          <w:rFonts w:cs="Arial"/>
        </w:rPr>
        <w:tab/>
      </w:r>
      <w:r>
        <w:rPr>
          <w:rFonts w:cs="Arial"/>
          <w:sz w:val="20"/>
        </w:rPr>
        <w:t xml:space="preserve">Cabe aduzir, </w:t>
      </w:r>
      <w:r w:rsidR="002F294A">
        <w:rPr>
          <w:rFonts w:cs="Arial"/>
          <w:sz w:val="20"/>
        </w:rPr>
        <w:t>finalmente</w:t>
      </w:r>
      <w:r>
        <w:rPr>
          <w:rFonts w:cs="Arial"/>
          <w:sz w:val="20"/>
        </w:rPr>
        <w:t xml:space="preserve"> que a definição de valores de gratificações deve obedecer ao princípio da razoabilidade e ao que preceitua do artigo 39, § 1º, da Co</w:t>
      </w:r>
      <w:r w:rsidR="00870445">
        <w:rPr>
          <w:rFonts w:cs="Arial"/>
          <w:sz w:val="20"/>
        </w:rPr>
        <w:t xml:space="preserve">nstituição da República </w:t>
      </w:r>
      <w:r w:rsidR="002F294A">
        <w:rPr>
          <w:rFonts w:cs="Arial"/>
          <w:sz w:val="20"/>
        </w:rPr>
        <w:t>(</w:t>
      </w:r>
      <w:r w:rsidR="002E1835">
        <w:rPr>
          <w:rFonts w:cs="Arial"/>
          <w:sz w:val="20"/>
        </w:rPr>
        <w:t>natureza, grau</w:t>
      </w:r>
      <w:r>
        <w:rPr>
          <w:rFonts w:cs="Arial"/>
          <w:sz w:val="20"/>
        </w:rPr>
        <w:t xml:space="preserve"> de responsabilidade </w:t>
      </w:r>
      <w:r w:rsidR="002E1835">
        <w:rPr>
          <w:rFonts w:cs="Arial"/>
          <w:sz w:val="20"/>
        </w:rPr>
        <w:t>e complexidade</w:t>
      </w:r>
      <w:r>
        <w:rPr>
          <w:rFonts w:cs="Arial"/>
          <w:sz w:val="20"/>
        </w:rPr>
        <w:t xml:space="preserve"> da atividade), matéria cuja apreciação se insere no âmbito do Órgão Deliberativo deste Legislativo.</w:t>
      </w:r>
    </w:p>
    <w:p w:rsidR="0039429E" w:rsidRDefault="0039429E" w:rsidP="0039429E">
      <w:pPr>
        <w:jc w:val="both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2E1835" w:rsidRDefault="002E1835" w:rsidP="0039429E">
      <w:pPr>
        <w:jc w:val="both"/>
        <w:rPr>
          <w:rFonts w:ascii="Arial" w:hAnsi="Arial" w:cs="Arial"/>
          <w:sz w:val="20"/>
          <w:szCs w:val="20"/>
        </w:rPr>
      </w:pPr>
    </w:p>
    <w:p w:rsidR="0039429E" w:rsidRDefault="0039429E" w:rsidP="002E183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39429E" w:rsidRPr="002F294A" w:rsidRDefault="0039429E" w:rsidP="0039429E">
      <w:pPr>
        <w:pStyle w:val="Corpodetexto"/>
        <w:ind w:firstLine="708"/>
        <w:rPr>
          <w:rFonts w:ascii="Arial" w:hAnsi="Arial" w:cs="Arial"/>
          <w:sz w:val="20"/>
        </w:rPr>
      </w:pPr>
      <w:r w:rsidRPr="002F294A">
        <w:rPr>
          <w:rFonts w:ascii="Arial" w:hAnsi="Arial" w:cs="Arial"/>
          <w:sz w:val="20"/>
        </w:rPr>
        <w:t>Em 16 de dezembro de 2.015.</w:t>
      </w:r>
    </w:p>
    <w:p w:rsidR="0039429E" w:rsidRDefault="0039429E" w:rsidP="0039429E">
      <w:pPr>
        <w:pStyle w:val="Corpodetexto"/>
        <w:ind w:firstLine="1418"/>
        <w:rPr>
          <w:rFonts w:cs="Arial"/>
          <w:sz w:val="20"/>
        </w:rPr>
      </w:pPr>
    </w:p>
    <w:p w:rsidR="002E1835" w:rsidRDefault="002E1835" w:rsidP="0039429E">
      <w:pPr>
        <w:pStyle w:val="Corpodetexto"/>
        <w:ind w:firstLine="1418"/>
        <w:rPr>
          <w:rFonts w:cs="Arial"/>
          <w:sz w:val="20"/>
        </w:rPr>
      </w:pPr>
    </w:p>
    <w:p w:rsidR="0039429E" w:rsidRDefault="0039429E" w:rsidP="0039429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7A0B29" w:rsidRDefault="0039429E" w:rsidP="002E1835">
      <w:pPr>
        <w:ind w:firstLine="1134"/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sectPr w:rsidR="007A0B29" w:rsidSect="00DB07D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C8"/>
    <w:rsid w:val="00161D1A"/>
    <w:rsid w:val="002713C8"/>
    <w:rsid w:val="002E1835"/>
    <w:rsid w:val="002F294A"/>
    <w:rsid w:val="0039429E"/>
    <w:rsid w:val="004333C7"/>
    <w:rsid w:val="0069489A"/>
    <w:rsid w:val="007A0B29"/>
    <w:rsid w:val="00870445"/>
    <w:rsid w:val="00A614F1"/>
    <w:rsid w:val="00DA6BA7"/>
    <w:rsid w:val="00DB07DA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FF134-A846-4B90-96A5-37EDBB27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9429E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9429E"/>
    <w:pPr>
      <w:keepNext/>
      <w:outlineLvl w:val="1"/>
    </w:pPr>
    <w:rPr>
      <w:b/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429E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2713C8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713C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942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942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942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9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9429E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9429E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9429E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customStyle="1" w:styleId="Normal1">
    <w:name w:val="Normal1"/>
    <w:basedOn w:val="Normal"/>
    <w:rsid w:val="0039429E"/>
    <w:rPr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B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BA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9</cp:revision>
  <cp:lastPrinted>2015-12-16T18:03:00Z</cp:lastPrinted>
  <dcterms:created xsi:type="dcterms:W3CDTF">2015-12-16T17:01:00Z</dcterms:created>
  <dcterms:modified xsi:type="dcterms:W3CDTF">2015-12-16T18:03:00Z</dcterms:modified>
</cp:coreProperties>
</file>