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FC" w:rsidRDefault="00AF13FC" w:rsidP="00AF13F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F13FC" w:rsidRDefault="00AF13FC" w:rsidP="00AF13F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F13FC" w:rsidRDefault="00AF13FC" w:rsidP="00AF13FC">
      <w:pPr>
        <w:rPr>
          <w:rFonts w:ascii="Arial" w:hAnsi="Arial" w:cs="Arial"/>
          <w:sz w:val="20"/>
          <w:szCs w:val="20"/>
        </w:rPr>
      </w:pPr>
    </w:p>
    <w:p w:rsidR="00AF13FC" w:rsidRDefault="004B2C56" w:rsidP="00AF13F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FE5500">
        <w:rPr>
          <w:rFonts w:ascii="Arial" w:hAnsi="Arial" w:cs="Arial"/>
          <w:sz w:val="20"/>
        </w:rPr>
        <w:t>149</w:t>
      </w:r>
      <w:bookmarkStart w:id="0" w:name="_GoBack"/>
      <w:bookmarkEnd w:id="0"/>
      <w:r w:rsidR="00AF13FC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 w:rsidR="00AF13FC">
        <w:rPr>
          <w:rFonts w:ascii="Arial" w:hAnsi="Arial" w:cs="Arial"/>
          <w:sz w:val="20"/>
        </w:rPr>
        <w:t>.</w:t>
      </w:r>
    </w:p>
    <w:p w:rsidR="00AF13FC" w:rsidRDefault="00AF13FC" w:rsidP="00AF13FC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AF13FC" w:rsidRDefault="004B2C56" w:rsidP="00AF13FC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AF13F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6</w:t>
      </w:r>
      <w:r w:rsidR="00AF13F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="00AF13FC">
        <w:rPr>
          <w:rFonts w:ascii="Arial" w:hAnsi="Arial" w:cs="Arial"/>
          <w:b/>
          <w:sz w:val="20"/>
          <w:szCs w:val="20"/>
        </w:rPr>
        <w:t>.</w:t>
      </w:r>
    </w:p>
    <w:p w:rsidR="00AF13FC" w:rsidRDefault="00AF13FC" w:rsidP="00AF13F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PLCL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Nº  </w:t>
      </w:r>
      <w:r w:rsidR="004B2C56">
        <w:rPr>
          <w:rFonts w:ascii="Arial" w:hAnsi="Arial" w:cs="Arial"/>
          <w:b/>
          <w:sz w:val="20"/>
          <w:szCs w:val="20"/>
        </w:rPr>
        <w:t>1</w:t>
      </w:r>
      <w:proofErr w:type="gramEnd"/>
      <w:r w:rsidR="004B2C56">
        <w:rPr>
          <w:rFonts w:ascii="Arial" w:hAnsi="Arial" w:cs="Arial"/>
          <w:b/>
          <w:sz w:val="20"/>
          <w:szCs w:val="20"/>
        </w:rPr>
        <w:t>/16</w:t>
      </w:r>
      <w:r>
        <w:rPr>
          <w:rFonts w:ascii="Arial" w:hAnsi="Arial" w:cs="Arial"/>
          <w:b/>
          <w:sz w:val="20"/>
          <w:szCs w:val="20"/>
        </w:rPr>
        <w:t>.</w:t>
      </w:r>
    </w:p>
    <w:p w:rsidR="00AF13FC" w:rsidRDefault="00AF13FC" w:rsidP="00AF13FC">
      <w:pPr>
        <w:rPr>
          <w:rFonts w:ascii="Arial" w:hAnsi="Arial" w:cs="Arial"/>
        </w:rPr>
      </w:pPr>
    </w:p>
    <w:p w:rsidR="00AF13FC" w:rsidRDefault="00AF13FC" w:rsidP="00AF13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É submetido a exame desta Procuradoria, para parecer prévio, o Projeto de Lei do Legislativo em epígrafe, que altera a Lei Complementar n º 626/2009 – que institui o Plano Diretor Cicloviário Integrado -, incluindo áreas de proteção ao ciclismo de competição no rol de elementos integrantes do sistema Cicloviário e dá outras providências.</w:t>
      </w:r>
    </w:p>
    <w:p w:rsidR="00AF13FC" w:rsidRDefault="00AF13FC" w:rsidP="00AF13F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 e</w:t>
      </w:r>
      <w:r>
        <w:rPr>
          <w:rFonts w:ascii="Arial" w:hAnsi="Arial"/>
          <w:sz w:val="20"/>
          <w:szCs w:val="20"/>
        </w:rPr>
        <w:t xml:space="preserve"> promover o adequado ordenamento territorial, mediante planejamento e controle do uso</w:t>
      </w:r>
      <w:r>
        <w:rPr>
          <w:rFonts w:ascii="Arial" w:hAnsi="Arial" w:cs="Arial"/>
          <w:sz w:val="20"/>
          <w:szCs w:val="20"/>
        </w:rPr>
        <w:t xml:space="preserve"> (art. 30, incisos I e VIII).</w:t>
      </w:r>
    </w:p>
    <w:p w:rsidR="00AF13FC" w:rsidRDefault="00AF13FC" w:rsidP="00AF13F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do Estado do Rio Grande do Sul, por sua vez, estatui competir ao Município regular o tráfego e o trânsito nas vias públicas municipais (art. 13, inciso III).</w:t>
      </w:r>
    </w:p>
    <w:p w:rsidR="00AF13FC" w:rsidRDefault="00AF13FC" w:rsidP="00AF13FC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Por força do disposto nos artigos 24, incisos II e X, do Código Brasileiro de Trânsito (Lei n° 9.503/97) é de competência municipal regulamentar o trânsito de veículos, de pedestres e de animais.</w:t>
      </w:r>
    </w:p>
    <w:p w:rsidR="00AF13FC" w:rsidRDefault="00AF13FC" w:rsidP="00AF13FC">
      <w:pPr>
        <w:pStyle w:val="Corpodetexto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 xml:space="preserve">A Lei Orgânica, por sua vez, declara a competência do Município para prover tudo quanto concerne ao interesse local, visando a promoção do bem-estar de seus habitantes, para dispor sobre a utilização de seus bens, e para regulamentar a utilização dos logradouros públicos e estabelecer as limitações urbanísticas que entender convenientes </w:t>
      </w:r>
      <w:r>
        <w:rPr>
          <w:sz w:val="20"/>
        </w:rPr>
        <w:t>à organização de seu território</w:t>
      </w:r>
      <w:r>
        <w:rPr>
          <w:rFonts w:cs="Arial"/>
          <w:sz w:val="20"/>
        </w:rPr>
        <w:t xml:space="preserve"> (artigos 8°, incisos VII, XI e XIV, e 9º, inciso II).</w:t>
      </w:r>
    </w:p>
    <w:p w:rsidR="00AF13FC" w:rsidRDefault="00AF13FC" w:rsidP="00AF13FC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municipal, inexistindo óbice jurídico à tramitação, sob tal enfoque.</w:t>
      </w:r>
    </w:p>
    <w:p w:rsidR="00AF13FC" w:rsidRDefault="00AF13FC" w:rsidP="00AF13F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de ressalvar que: a) por força do que dispõe a Lei Orgânica (artigo 94, incisos IV e XII), compete privativamente ao Chefe do Poder Executivo realizar a administração do Município, preceito que, s.m.j., resta afetado pelo disposto no artigo 18-B do projeto de lei – define formas de utilização de bens públicos; b) o conteúdo normativo do artigo 18-C do projeto de lei, por impor obrigação ao Poder Executivo, vênia concedida, incide em violação ao princípio da independência dos poderes (CF, artigo 2º).</w:t>
      </w:r>
    </w:p>
    <w:p w:rsidR="00AF13FC" w:rsidRDefault="00AF13FC" w:rsidP="00AF13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F13FC" w:rsidRDefault="00AF13FC" w:rsidP="00AF13FC">
      <w:pPr>
        <w:jc w:val="both"/>
        <w:rPr>
          <w:rFonts w:ascii="Arial" w:hAnsi="Arial" w:cs="Arial"/>
          <w:sz w:val="20"/>
          <w:szCs w:val="20"/>
        </w:rPr>
      </w:pPr>
    </w:p>
    <w:p w:rsidR="00AF13FC" w:rsidRDefault="00AF13FC" w:rsidP="00AF13F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AF13FC" w:rsidRDefault="00AF13FC" w:rsidP="00AF13F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março de 2.016.</w:t>
      </w:r>
    </w:p>
    <w:p w:rsidR="00AF13FC" w:rsidRDefault="00AF13FC" w:rsidP="00AF13FC">
      <w:pPr>
        <w:pStyle w:val="Corpodetexto"/>
        <w:ind w:firstLine="1418"/>
        <w:rPr>
          <w:rFonts w:cs="Arial"/>
          <w:i/>
          <w:sz w:val="20"/>
        </w:rPr>
      </w:pPr>
    </w:p>
    <w:p w:rsidR="00AF13FC" w:rsidRDefault="00AF13FC" w:rsidP="00AF13FC">
      <w:pPr>
        <w:pStyle w:val="Corpodetexto"/>
        <w:ind w:firstLine="1418"/>
        <w:rPr>
          <w:rFonts w:cs="Arial"/>
          <w:i/>
          <w:sz w:val="20"/>
        </w:rPr>
      </w:pPr>
    </w:p>
    <w:p w:rsidR="00AF13FC" w:rsidRDefault="00AF13FC" w:rsidP="00AF13FC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AF13FC" w:rsidRDefault="00AF13FC" w:rsidP="00AF13F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AF13FC" w:rsidRDefault="00AF13FC" w:rsidP="00AF13F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F13FC" w:rsidRDefault="00AF13FC" w:rsidP="00AF13FC">
      <w:pPr>
        <w:pStyle w:val="NormalWeb"/>
      </w:pPr>
    </w:p>
    <w:p w:rsidR="00AF13FC" w:rsidRDefault="00AF13FC" w:rsidP="00AF13FC">
      <w:pPr>
        <w:pStyle w:val="NormalWeb"/>
      </w:pPr>
      <w:r>
        <w:rPr>
          <w:rFonts w:ascii="Arial" w:hAnsi="Arial" w:cs="Arial"/>
          <w:sz w:val="20"/>
          <w:szCs w:val="20"/>
        </w:rPr>
        <w:t>     </w:t>
      </w:r>
      <w:r>
        <w:t>  </w:t>
      </w:r>
    </w:p>
    <w:p w:rsidR="00AF13FC" w:rsidRDefault="00AF13FC" w:rsidP="00AF13FC"/>
    <w:p w:rsidR="00AF13FC" w:rsidRDefault="00AF13FC" w:rsidP="00AF13FC"/>
    <w:p w:rsidR="00AF13FC" w:rsidRDefault="00AF13FC" w:rsidP="00AF13FC"/>
    <w:p w:rsidR="00AB2100" w:rsidRDefault="00AB2100"/>
    <w:sectPr w:rsidR="00AB2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C"/>
    <w:rsid w:val="004B2C56"/>
    <w:rsid w:val="00AB2100"/>
    <w:rsid w:val="00AF13FC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F56F-BC28-4A73-8342-D10919EC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3F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13F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AF13F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AF13F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F1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13F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F13F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2016-03-30T13:57:00Z</dcterms:created>
  <dcterms:modified xsi:type="dcterms:W3CDTF">2016-03-30T14:31:00Z</dcterms:modified>
</cp:coreProperties>
</file>