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55" w:rsidRDefault="00B33C55" w:rsidP="00B33C55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B33C55" w:rsidRDefault="00B33C55" w:rsidP="00B33C55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B33C55" w:rsidRDefault="00B33C55" w:rsidP="00B33C55">
      <w:pPr>
        <w:rPr>
          <w:rFonts w:ascii="Arial" w:hAnsi="Arial"/>
          <w:sz w:val="20"/>
        </w:rPr>
      </w:pPr>
    </w:p>
    <w:p w:rsidR="00B33C55" w:rsidRDefault="00B33C55" w:rsidP="00B33C55">
      <w:pPr>
        <w:pStyle w:val="Ttulo1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PARECER Nº 221/16.</w:t>
      </w:r>
    </w:p>
    <w:p w:rsidR="00B33C55" w:rsidRDefault="00B33C55" w:rsidP="00B33C55">
      <w:pPr>
        <w:ind w:left="4536"/>
        <w:jc w:val="both"/>
        <w:rPr>
          <w:rFonts w:ascii="Arial" w:hAnsi="Arial"/>
          <w:b/>
          <w:sz w:val="20"/>
        </w:rPr>
      </w:pPr>
    </w:p>
    <w:p w:rsidR="00B33C55" w:rsidRDefault="00B33C55" w:rsidP="00B33C55">
      <w:pPr>
        <w:ind w:left="4536"/>
        <w:jc w:val="both"/>
        <w:rPr>
          <w:rFonts w:ascii="Arial" w:hAnsi="Arial"/>
          <w:b/>
          <w:sz w:val="20"/>
        </w:rPr>
      </w:pPr>
    </w:p>
    <w:p w:rsidR="00B33C55" w:rsidRDefault="00B33C55" w:rsidP="00B33C55">
      <w:pPr>
        <w:ind w:left="453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Nº 47/16.</w:t>
      </w:r>
    </w:p>
    <w:p w:rsidR="00B33C55" w:rsidRDefault="00B33C55" w:rsidP="00B33C55">
      <w:pPr>
        <w:ind w:left="453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PLL Nº 04/16.</w:t>
      </w:r>
    </w:p>
    <w:p w:rsidR="00B33C55" w:rsidRDefault="00B33C55" w:rsidP="00B33C55">
      <w:pPr>
        <w:jc w:val="both"/>
        <w:rPr>
          <w:rFonts w:ascii="Arial" w:hAnsi="Arial" w:cs="Arial"/>
          <w:b/>
          <w:sz w:val="20"/>
        </w:rPr>
      </w:pPr>
    </w:p>
    <w:p w:rsidR="00B33C55" w:rsidRDefault="00B33C55" w:rsidP="00B33C55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É submetido a exame desta Procuradoria, para parecer prévio, o Projeto de Lei do Legislativo em epígrafe, que altera a Lei nº 10.531/08, estendendo o prazo de </w:t>
      </w:r>
      <w:r w:rsidR="002E5F3D">
        <w:rPr>
          <w:rFonts w:ascii="Arial" w:hAnsi="Arial" w:cs="Arial"/>
          <w:sz w:val="20"/>
        </w:rPr>
        <w:t>proibição, em</w:t>
      </w:r>
      <w:r w:rsidR="00C77211">
        <w:rPr>
          <w:rFonts w:ascii="Arial" w:hAnsi="Arial" w:cs="Arial"/>
          <w:sz w:val="20"/>
        </w:rPr>
        <w:t xml:space="preserve"> definitivo, da circulação de V</w:t>
      </w:r>
      <w:r>
        <w:rPr>
          <w:rFonts w:ascii="Arial" w:hAnsi="Arial" w:cs="Arial"/>
          <w:sz w:val="20"/>
        </w:rPr>
        <w:t xml:space="preserve">eículos de </w:t>
      </w:r>
      <w:r w:rsidR="00C77211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ração </w:t>
      </w:r>
      <w:r w:rsidR="00C77211">
        <w:rPr>
          <w:rFonts w:ascii="Arial" w:hAnsi="Arial" w:cs="Arial"/>
          <w:sz w:val="20"/>
        </w:rPr>
        <w:t>H</w:t>
      </w:r>
      <w:bookmarkStart w:id="0" w:name="_GoBack"/>
      <w:bookmarkEnd w:id="0"/>
      <w:r>
        <w:rPr>
          <w:rFonts w:ascii="Arial" w:hAnsi="Arial" w:cs="Arial"/>
          <w:sz w:val="20"/>
        </w:rPr>
        <w:t>umana - VTHS - no trânsito do Município de Porto Alegre.</w:t>
      </w:r>
    </w:p>
    <w:p w:rsidR="00B33C55" w:rsidRDefault="00B33C55" w:rsidP="00B33C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forma do que dispõe a Constituição da República, compete aos Municípios legislar sobre assuntos de interesse local (art. 30, inciso I).</w:t>
      </w:r>
    </w:p>
    <w:p w:rsidR="00B33C55" w:rsidRDefault="00B33C55" w:rsidP="00B33C55">
      <w:pPr>
        <w:ind w:firstLine="708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A Constituição do Estado do Rio Grande do Sul dispõe, também, </w:t>
      </w:r>
      <w:r>
        <w:rPr>
          <w:rFonts w:ascii="Arial" w:hAnsi="Arial" w:cs="Arial"/>
          <w:iCs/>
          <w:sz w:val="20"/>
        </w:rPr>
        <w:t>competir ao Município regular o tráfego e o trânsito nas vias públicas municipais.</w:t>
      </w:r>
    </w:p>
    <w:p w:rsidR="00B33C55" w:rsidRDefault="00B33C55" w:rsidP="00B33C55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 do Município de Porto Alegre declara ser de competência deste prover tudo quanto concerne ao interesse local, organizar e dispor sobre serviços públicos de interesse local e ordenar as atividades urbanas (artigos 9º, incisos II e XII, e 8º, inciso III).</w:t>
      </w:r>
    </w:p>
    <w:p w:rsidR="00B33C55" w:rsidRDefault="00B33C55" w:rsidP="00B33C55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Lei nº 8.133/98, ao dispor sobre o Sistema de Transporte e Circulação no Município de Porto Alegre, declara ser atribuição do Poder Público planejar, projetar, regulamentar e operar o trânsito de veículos, promovendo o desenvolvimento da circulação e da segurança (art. 1º, inciso IV).</w:t>
      </w:r>
    </w:p>
    <w:p w:rsidR="00B33C55" w:rsidRDefault="00B33C55" w:rsidP="00B33C5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 o Código Brasileiro de Trânsito (Lei n° 9.503/97, artigo 24, inciso II) determina a competência do Município para regulamentar o trânsito de veículos no âmbito da respectiva circunscrição.</w:t>
      </w:r>
    </w:p>
    <w:p w:rsidR="00B33C55" w:rsidRDefault="00B33C55" w:rsidP="00B33C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matéria objeto da proposição se insere no âmbito de competência municipal, inexistindo óbice jurídico à tramitação.</w:t>
      </w:r>
    </w:p>
    <w:p w:rsidR="00B33C55" w:rsidRDefault="00B33C55" w:rsidP="00B33C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censura.</w:t>
      </w:r>
    </w:p>
    <w:p w:rsidR="00B33C55" w:rsidRDefault="00B33C55" w:rsidP="00B33C55">
      <w:pPr>
        <w:pStyle w:val="Corpodetexto"/>
        <w:ind w:firstLine="708"/>
        <w:rPr>
          <w:rFonts w:cs="Arial"/>
          <w:sz w:val="20"/>
        </w:rPr>
      </w:pPr>
    </w:p>
    <w:p w:rsidR="00B33C55" w:rsidRDefault="00B33C55" w:rsidP="00B33C55">
      <w:pPr>
        <w:ind w:left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Á Diretoria Legislativa para os devidos fins.</w:t>
      </w:r>
    </w:p>
    <w:p w:rsidR="00B33C55" w:rsidRDefault="00B33C55" w:rsidP="00B33C5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26 de abril de 2.016.</w:t>
      </w:r>
    </w:p>
    <w:p w:rsidR="00B33C55" w:rsidRDefault="00B33C55" w:rsidP="00B33C55">
      <w:pPr>
        <w:pStyle w:val="Corpodetexto"/>
        <w:ind w:firstLine="1418"/>
        <w:rPr>
          <w:rFonts w:cs="Arial"/>
          <w:sz w:val="20"/>
        </w:rPr>
      </w:pPr>
    </w:p>
    <w:p w:rsidR="00B33C55" w:rsidRDefault="00B33C55" w:rsidP="00B33C55">
      <w:pPr>
        <w:pStyle w:val="Corpodetexto"/>
        <w:ind w:firstLine="1418"/>
        <w:rPr>
          <w:rFonts w:cs="Arial"/>
          <w:sz w:val="20"/>
        </w:rPr>
      </w:pPr>
    </w:p>
    <w:p w:rsidR="00B33C55" w:rsidRDefault="00B33C55" w:rsidP="00B33C55">
      <w:pPr>
        <w:pStyle w:val="Corpodetexto"/>
        <w:ind w:firstLine="1418"/>
        <w:rPr>
          <w:rFonts w:cs="Arial"/>
          <w:sz w:val="20"/>
        </w:rPr>
      </w:pPr>
    </w:p>
    <w:p w:rsidR="00B33C55" w:rsidRDefault="00B33C55" w:rsidP="00B33C55">
      <w:pPr>
        <w:pStyle w:val="Corpodetexto"/>
        <w:ind w:firstLine="1418"/>
        <w:rPr>
          <w:rFonts w:cs="Arial"/>
          <w:sz w:val="20"/>
        </w:rPr>
      </w:pPr>
    </w:p>
    <w:p w:rsidR="00B33C55" w:rsidRDefault="00B33C55" w:rsidP="00B33C55">
      <w:pPr>
        <w:ind w:firstLine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Claudio Roberto Velasquez</w:t>
      </w:r>
    </w:p>
    <w:p w:rsidR="00B33C55" w:rsidRDefault="00B33C55" w:rsidP="00B33C5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33C55" w:rsidRDefault="00B33C55" w:rsidP="00B33C55">
      <w:pPr>
        <w:pStyle w:val="Corpodetexto"/>
        <w:ind w:firstLine="1418"/>
        <w:rPr>
          <w:rFonts w:cs="Arial"/>
          <w:sz w:val="20"/>
        </w:rPr>
      </w:pPr>
    </w:p>
    <w:p w:rsidR="00E3520E" w:rsidRDefault="00E3520E"/>
    <w:sectPr w:rsidR="00E35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55"/>
    <w:rsid w:val="002E5F3D"/>
    <w:rsid w:val="00B33C55"/>
    <w:rsid w:val="00C77211"/>
    <w:rsid w:val="00E3520E"/>
    <w:rsid w:val="00F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E9D1-9944-4B45-968D-763A712D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55"/>
    <w:pPr>
      <w:spacing w:after="0" w:line="240" w:lineRule="auto"/>
    </w:pPr>
    <w:rPr>
      <w:rFonts w:ascii="Comic Sans MS" w:eastAsia="Times New Roman" w:hAnsi="Comic Sans MS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3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3C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B33C55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semiHidden/>
    <w:rsid w:val="00B33C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33C55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B33C5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2016-04-26T17:55:00Z</dcterms:created>
  <dcterms:modified xsi:type="dcterms:W3CDTF">2016-04-26T18:06:00Z</dcterms:modified>
</cp:coreProperties>
</file>