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70" w:rsidRDefault="00A97170" w:rsidP="00A97170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A97170" w:rsidRDefault="00A97170" w:rsidP="00A971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97170" w:rsidRDefault="00A97170" w:rsidP="00A97170">
      <w:pPr>
        <w:rPr>
          <w:rFonts w:ascii="Arial" w:hAnsi="Arial" w:cs="Arial"/>
          <w:b/>
          <w:sz w:val="20"/>
          <w:szCs w:val="20"/>
        </w:rPr>
      </w:pPr>
    </w:p>
    <w:p w:rsidR="00A97170" w:rsidRDefault="00A97170" w:rsidP="00A97170">
      <w:pPr>
        <w:rPr>
          <w:rFonts w:ascii="Arial" w:hAnsi="Arial" w:cs="Arial"/>
          <w:b/>
          <w:sz w:val="20"/>
          <w:szCs w:val="20"/>
        </w:rPr>
      </w:pPr>
    </w:p>
    <w:p w:rsidR="00A97170" w:rsidRDefault="00A97170" w:rsidP="00A971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17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/16.</w:t>
      </w:r>
    </w:p>
    <w:p w:rsidR="00A97170" w:rsidRDefault="00A97170" w:rsidP="00A97170">
      <w:pPr>
        <w:ind w:left="4536"/>
        <w:rPr>
          <w:rFonts w:ascii="Arial" w:hAnsi="Arial" w:cs="Arial"/>
          <w:b/>
          <w:sz w:val="20"/>
          <w:szCs w:val="20"/>
        </w:rPr>
      </w:pPr>
    </w:p>
    <w:p w:rsidR="00A97170" w:rsidRDefault="00A97170" w:rsidP="00A97170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/16.</w:t>
      </w:r>
    </w:p>
    <w:p w:rsidR="00A97170" w:rsidRDefault="00A97170" w:rsidP="00A97170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58</w:t>
      </w:r>
      <w:r>
        <w:rPr>
          <w:rFonts w:ascii="Arial" w:hAnsi="Arial" w:cs="Arial"/>
          <w:b/>
          <w:sz w:val="20"/>
          <w:szCs w:val="20"/>
        </w:rPr>
        <w:t>/16.</w:t>
      </w:r>
    </w:p>
    <w:p w:rsidR="00A97170" w:rsidRDefault="00A97170" w:rsidP="00A97170">
      <w:pPr>
        <w:pStyle w:val="Cabealho"/>
        <w:jc w:val="center"/>
        <w:rPr>
          <w:rFonts w:ascii="Arial" w:hAnsi="Arial" w:cs="Arial"/>
          <w:b/>
          <w:sz w:val="20"/>
        </w:rPr>
      </w:pPr>
    </w:p>
    <w:p w:rsidR="00A97170" w:rsidRDefault="00A97170" w:rsidP="00A97170">
      <w:pPr>
        <w:rPr>
          <w:rFonts w:ascii="Arial" w:hAnsi="Arial" w:cs="Arial"/>
          <w:b/>
          <w:sz w:val="20"/>
          <w:szCs w:val="20"/>
        </w:rPr>
      </w:pPr>
    </w:p>
    <w:p w:rsidR="00A97170" w:rsidRDefault="00A97170" w:rsidP="00A97170">
      <w:pPr>
        <w:ind w:firstLine="1985"/>
        <w:rPr>
          <w:rFonts w:ascii="Arial" w:hAnsi="Arial" w:cs="Arial"/>
          <w:sz w:val="20"/>
          <w:szCs w:val="20"/>
        </w:rPr>
      </w:pPr>
    </w:p>
    <w:p w:rsidR="00A97170" w:rsidRDefault="00A97170" w:rsidP="00A9717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 o Projeto de Lei do Executivo em epígrafe, que altera a Lei nº 11.582/14, que institui o serviço público de transporte individual por táxi no Município de Porto Alegre, </w:t>
      </w:r>
      <w:r>
        <w:rPr>
          <w:rFonts w:ascii="Arial" w:hAnsi="Arial" w:cs="Arial"/>
          <w:sz w:val="20"/>
          <w:szCs w:val="20"/>
        </w:rPr>
        <w:t>incluindo itens em rol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direitos assegurados aos </w:t>
      </w:r>
      <w:r>
        <w:rPr>
          <w:rFonts w:ascii="Arial" w:hAnsi="Arial" w:cs="Arial"/>
          <w:sz w:val="20"/>
          <w:szCs w:val="20"/>
        </w:rPr>
        <w:t xml:space="preserve">permissionários e condutores auxiliares </w:t>
      </w:r>
      <w:r>
        <w:rPr>
          <w:rFonts w:ascii="Arial" w:hAnsi="Arial" w:cs="Arial"/>
          <w:sz w:val="20"/>
          <w:szCs w:val="20"/>
        </w:rPr>
        <w:t>habilitados</w:t>
      </w:r>
      <w:r>
        <w:rPr>
          <w:rFonts w:ascii="Arial" w:hAnsi="Arial" w:cs="Arial"/>
          <w:sz w:val="20"/>
          <w:szCs w:val="20"/>
        </w:rPr>
        <w:t>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ser de sua competência prover tudo quanto concerne ao interesse local, bem como organizar e dispor sobre serviços públicos de interesse local (artigos 8º, inciso III e 9º, incisos II, e IX).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A97170" w:rsidRDefault="00A97170" w:rsidP="00A9717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8.133/98, que dispõe sobre o Sistema de Transporte e Circulação no Município de Porto Alegre, declara ser atribuição do Poder Público regulamentar a prestação dos serviços de transporte de passageiros e o trânsito de veículos, e inclui o transporte individual na categoria de serviço público (arts. 12, 14 e 18).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proposição, consoante se infere do exposto, insere-se no âmbito de competência municipal, inexistindo óbice legal à tramitação.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97170" w:rsidRDefault="00A97170" w:rsidP="00A97170">
      <w:pPr>
        <w:jc w:val="both"/>
        <w:rPr>
          <w:rFonts w:ascii="Arial" w:hAnsi="Arial" w:cs="Arial"/>
          <w:sz w:val="20"/>
          <w:szCs w:val="20"/>
        </w:rPr>
      </w:pPr>
    </w:p>
    <w:p w:rsidR="00A97170" w:rsidRDefault="00A97170" w:rsidP="00A9717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A97170" w:rsidRDefault="00A97170" w:rsidP="00A9717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</w:t>
      </w:r>
      <w:r>
        <w:rPr>
          <w:rFonts w:cs="Arial"/>
          <w:sz w:val="20"/>
        </w:rPr>
        <w:t>8</w:t>
      </w:r>
      <w:r>
        <w:rPr>
          <w:rFonts w:cs="Arial"/>
          <w:sz w:val="20"/>
        </w:rPr>
        <w:t xml:space="preserve"> de abril de 2.016.</w:t>
      </w:r>
    </w:p>
    <w:p w:rsidR="00A97170" w:rsidRDefault="00A97170" w:rsidP="00A97170">
      <w:pPr>
        <w:pStyle w:val="Corpodetexto"/>
        <w:ind w:firstLine="1418"/>
        <w:rPr>
          <w:rFonts w:cs="Arial"/>
          <w:i/>
          <w:sz w:val="20"/>
        </w:rPr>
      </w:pPr>
    </w:p>
    <w:p w:rsidR="00A97170" w:rsidRDefault="00A97170" w:rsidP="00A97170">
      <w:pPr>
        <w:pStyle w:val="Corpodetexto"/>
        <w:ind w:firstLine="1418"/>
        <w:rPr>
          <w:rFonts w:cs="Arial"/>
          <w:i/>
          <w:sz w:val="20"/>
        </w:rPr>
      </w:pPr>
    </w:p>
    <w:p w:rsidR="00A97170" w:rsidRDefault="00A97170" w:rsidP="00A97170">
      <w:pPr>
        <w:pStyle w:val="Corpodetexto"/>
        <w:ind w:firstLine="1418"/>
        <w:rPr>
          <w:rFonts w:cs="Arial"/>
          <w:i/>
          <w:sz w:val="20"/>
        </w:rPr>
      </w:pPr>
    </w:p>
    <w:p w:rsidR="00A97170" w:rsidRDefault="00A97170" w:rsidP="00A97170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A97170" w:rsidRPr="00D05185" w:rsidRDefault="00A97170" w:rsidP="00D05185">
      <w:pPr>
        <w:ind w:firstLine="709"/>
        <w:rPr>
          <w:rFonts w:ascii="Arial" w:hAnsi="Arial" w:cs="Arial"/>
          <w:sz w:val="20"/>
          <w:szCs w:val="20"/>
        </w:rPr>
      </w:pPr>
      <w:r w:rsidRPr="00D05185">
        <w:rPr>
          <w:rFonts w:ascii="Arial" w:hAnsi="Arial" w:cs="Arial"/>
          <w:sz w:val="20"/>
          <w:szCs w:val="20"/>
        </w:rPr>
        <w:t xml:space="preserve">   Claudio Roberto Velasquez</w:t>
      </w:r>
    </w:p>
    <w:p w:rsidR="00A97170" w:rsidRDefault="00D05185" w:rsidP="00D0518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97170">
        <w:rPr>
          <w:rFonts w:ascii="Arial" w:hAnsi="Arial" w:cs="Arial"/>
          <w:sz w:val="16"/>
          <w:szCs w:val="16"/>
        </w:rPr>
        <w:t xml:space="preserve"> Procurador-Geral–OAB/RS 18.594</w:t>
      </w:r>
      <w:r w:rsidR="00A97170">
        <w:rPr>
          <w:rFonts w:ascii="Arial" w:hAnsi="Arial" w:cs="Arial"/>
          <w:sz w:val="16"/>
          <w:szCs w:val="16"/>
        </w:rPr>
        <w:tab/>
      </w:r>
    </w:p>
    <w:p w:rsidR="00A97170" w:rsidRDefault="00A97170" w:rsidP="00D0518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A97170" w:rsidRDefault="00A97170" w:rsidP="00A97170"/>
    <w:p w:rsidR="00A97170" w:rsidRDefault="00A97170" w:rsidP="00A97170"/>
    <w:p w:rsidR="00A97170" w:rsidRDefault="00A97170" w:rsidP="00A97170"/>
    <w:p w:rsidR="00A97170" w:rsidRDefault="00A97170" w:rsidP="00A97170"/>
    <w:p w:rsidR="007A1B14" w:rsidRDefault="007A1B14">
      <w:bookmarkStart w:id="0" w:name="_GoBack"/>
      <w:bookmarkEnd w:id="0"/>
    </w:p>
    <w:sectPr w:rsidR="007A1B14" w:rsidSect="00D051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70"/>
    <w:rsid w:val="007A1B14"/>
    <w:rsid w:val="00A97170"/>
    <w:rsid w:val="00D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533D-E02D-47E5-A6FE-9956177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9717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97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9717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9717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2016-04-08T13:05:00Z</dcterms:created>
  <dcterms:modified xsi:type="dcterms:W3CDTF">2016-04-08T13:10:00Z</dcterms:modified>
</cp:coreProperties>
</file>