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52" w:rsidRDefault="00432052" w:rsidP="004320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432052" w:rsidRDefault="00432052" w:rsidP="004320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432052" w:rsidRDefault="00432052" w:rsidP="00432052">
      <w:pPr>
        <w:pStyle w:val="Ttulo1"/>
        <w:rPr>
          <w:rFonts w:ascii="Arial" w:hAnsi="Arial" w:cs="Arial"/>
          <w:sz w:val="20"/>
        </w:rPr>
      </w:pPr>
    </w:p>
    <w:p w:rsidR="00A20DD4" w:rsidRDefault="00A20DD4" w:rsidP="00A20DD4">
      <w:pPr>
        <w:rPr>
          <w:rFonts w:ascii="Arial" w:hAnsi="Arial" w:cs="Arial"/>
          <w:sz w:val="20"/>
          <w:szCs w:val="20"/>
        </w:rPr>
      </w:pPr>
    </w:p>
    <w:p w:rsidR="00A20DD4" w:rsidRDefault="00A20DD4" w:rsidP="00A20DD4">
      <w:pPr>
        <w:rPr>
          <w:rFonts w:ascii="Arial" w:hAnsi="Arial" w:cs="Arial"/>
          <w:b/>
          <w:bCs/>
          <w:sz w:val="20"/>
          <w:szCs w:val="20"/>
        </w:rPr>
      </w:pPr>
    </w:p>
    <w:p w:rsidR="00A20DD4" w:rsidRDefault="00EF2EA6" w:rsidP="00A20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PARECER Nº</w:t>
      </w:r>
      <w:r w:rsidR="00A20DD4">
        <w:rPr>
          <w:rFonts w:ascii="Arial" w:hAnsi="Arial" w:cs="Arial"/>
          <w:b/>
          <w:bCs/>
          <w:sz w:val="20"/>
          <w:szCs w:val="20"/>
        </w:rPr>
        <w:t xml:space="preserve"> </w:t>
      </w:r>
      <w:r w:rsidR="00A20DD4">
        <w:rPr>
          <w:rFonts w:ascii="Arial" w:hAnsi="Arial" w:cs="Arial"/>
          <w:b/>
          <w:bCs/>
          <w:sz w:val="20"/>
          <w:szCs w:val="20"/>
        </w:rPr>
        <w:t>87</w:t>
      </w:r>
      <w:r w:rsidR="00A20DD4">
        <w:rPr>
          <w:rFonts w:ascii="Arial" w:hAnsi="Arial" w:cs="Arial"/>
          <w:b/>
          <w:bCs/>
          <w:sz w:val="20"/>
          <w:szCs w:val="20"/>
        </w:rPr>
        <w:t>/1</w:t>
      </w:r>
      <w:r w:rsidR="00A20DD4">
        <w:rPr>
          <w:rFonts w:ascii="Arial" w:hAnsi="Arial" w:cs="Arial"/>
          <w:b/>
          <w:bCs/>
          <w:sz w:val="20"/>
          <w:szCs w:val="20"/>
        </w:rPr>
        <w:t>6</w:t>
      </w:r>
      <w:r w:rsidR="00A20DD4">
        <w:rPr>
          <w:rFonts w:ascii="Arial" w:hAnsi="Arial" w:cs="Arial"/>
          <w:b/>
          <w:bCs/>
          <w:sz w:val="20"/>
          <w:szCs w:val="20"/>
        </w:rPr>
        <w:t>.</w:t>
      </w:r>
    </w:p>
    <w:p w:rsidR="00A20DD4" w:rsidRDefault="00A20DD4" w:rsidP="00A20DD4">
      <w:pPr>
        <w:rPr>
          <w:rFonts w:ascii="Arial" w:hAnsi="Arial" w:cs="Arial"/>
          <w:sz w:val="20"/>
          <w:szCs w:val="20"/>
        </w:rPr>
      </w:pPr>
    </w:p>
    <w:p w:rsidR="00A20DD4" w:rsidRDefault="00A20DD4" w:rsidP="00A20DD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EF2EA6">
        <w:rPr>
          <w:rFonts w:ascii="Arial" w:hAnsi="Arial" w:cs="Arial"/>
          <w:b/>
          <w:bCs/>
          <w:sz w:val="20"/>
          <w:szCs w:val="20"/>
        </w:rPr>
        <w:t>Nº 347</w:t>
      </w:r>
      <w:r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A20DD4" w:rsidRDefault="00A20DD4" w:rsidP="00A20DD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PLL              Nº    </w:t>
      </w:r>
      <w:r>
        <w:rPr>
          <w:rFonts w:ascii="Arial" w:hAnsi="Arial" w:cs="Arial"/>
          <w:b/>
          <w:bCs/>
          <w:sz w:val="20"/>
          <w:szCs w:val="20"/>
        </w:rPr>
        <w:t>27</w:t>
      </w:r>
      <w:r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A20DD4" w:rsidRDefault="00A20DD4" w:rsidP="00A20DD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:rsidR="00A20DD4" w:rsidRDefault="00A20DD4" w:rsidP="00A20DD4">
      <w:pPr>
        <w:rPr>
          <w:rFonts w:ascii="Arial" w:hAnsi="Arial" w:cs="Arial"/>
          <w:b/>
          <w:bCs/>
          <w:sz w:val="20"/>
          <w:szCs w:val="20"/>
        </w:rPr>
      </w:pPr>
    </w:p>
    <w:p w:rsidR="00A20DD4" w:rsidRDefault="00A20DD4" w:rsidP="00A20D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</w:t>
      </w:r>
      <w:r>
        <w:rPr>
          <w:rFonts w:ascii="Arial" w:hAnsi="Arial" w:cs="Arial"/>
          <w:sz w:val="20"/>
          <w:szCs w:val="20"/>
        </w:rPr>
        <w:t xml:space="preserve"> cria a Política de Prevenção e Combate ao Mosquito Transmissor da Dengue, do Vírus Zika e da Febre Chikungunya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inclui no Anexo da Lei n° 10.90410 - Calendário de Datas Comemorativas e de Conscientização do Município de Porto Alegre - a efeméride Dia D </w:t>
      </w:r>
      <w:r>
        <w:rPr>
          <w:rFonts w:ascii="Arial" w:hAnsi="Arial" w:cs="Arial"/>
          <w:sz w:val="20"/>
          <w:szCs w:val="20"/>
        </w:rPr>
        <w:t>de Prevenção e Comb</w:t>
      </w:r>
      <w:r>
        <w:rPr>
          <w:rFonts w:ascii="Arial" w:hAnsi="Arial" w:cs="Arial"/>
          <w:sz w:val="20"/>
          <w:szCs w:val="20"/>
        </w:rPr>
        <w:t>ate ao Mosquito Transmissor da D</w:t>
      </w:r>
      <w:r>
        <w:rPr>
          <w:rFonts w:ascii="Arial" w:hAnsi="Arial" w:cs="Arial"/>
          <w:sz w:val="20"/>
          <w:szCs w:val="20"/>
        </w:rPr>
        <w:t xml:space="preserve">engue, do Vírus Zika e da Febre </w:t>
      </w:r>
      <w:r w:rsidR="00EF2EA6">
        <w:rPr>
          <w:rFonts w:ascii="Arial" w:hAnsi="Arial" w:cs="Arial"/>
          <w:sz w:val="20"/>
          <w:szCs w:val="20"/>
        </w:rPr>
        <w:t>Chikungunya, e</w:t>
      </w:r>
      <w:r>
        <w:rPr>
          <w:rFonts w:ascii="Arial" w:hAnsi="Arial" w:cs="Arial"/>
          <w:sz w:val="20"/>
          <w:szCs w:val="20"/>
        </w:rPr>
        <w:t xml:space="preserve"> dá outras providências.</w:t>
      </w:r>
    </w:p>
    <w:p w:rsidR="00005410" w:rsidRPr="00005410" w:rsidRDefault="00A20DD4" w:rsidP="000054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05410" w:rsidRPr="00005410">
        <w:rPr>
          <w:rFonts w:ascii="Arial" w:hAnsi="Arial" w:cs="Arial"/>
          <w:sz w:val="20"/>
          <w:szCs w:val="20"/>
        </w:rPr>
        <w:t>Consoante dispõe a Constituição Federal, compete aos Municípios legislar sobre assuntos de interesse local, suplementar a legislação federal e estadual, e, de forma comum com a União e o Estado, cuidar da saúde e assistência pública (arts. 23, inciso II, e 30, incisos I e II).</w:t>
      </w:r>
    </w:p>
    <w:p w:rsidR="00005410" w:rsidRPr="00005410" w:rsidRDefault="00005410" w:rsidP="00EF2EA6">
      <w:pPr>
        <w:pStyle w:val="Recuodecorpodetexto"/>
        <w:spacing w:after="0"/>
        <w:ind w:left="0" w:firstLine="283"/>
        <w:jc w:val="both"/>
        <w:rPr>
          <w:rFonts w:ascii="Arial" w:hAnsi="Arial" w:cs="Arial"/>
          <w:sz w:val="20"/>
          <w:szCs w:val="20"/>
        </w:rPr>
      </w:pPr>
      <w:r w:rsidRPr="00005410">
        <w:rPr>
          <w:rFonts w:ascii="Arial" w:hAnsi="Arial" w:cs="Arial"/>
          <w:sz w:val="20"/>
          <w:szCs w:val="20"/>
        </w:rPr>
        <w:tab/>
        <w:t>A Lei Orgânica, coerentemente com os preceitos constitucionais, dispõe que compete ao Município prover tudo quanto concerne ao interesse local, visando a promoção do bem-estar de seus habitantes, e estatui ser atribuição do Município a promoção do direito à saúde e a normatização das ações e serviços de saúde.</w:t>
      </w:r>
    </w:p>
    <w:p w:rsidR="00005410" w:rsidRPr="00005410" w:rsidRDefault="00005410" w:rsidP="0061722A">
      <w:pPr>
        <w:pStyle w:val="Corpodetexto"/>
        <w:rPr>
          <w:rFonts w:cs="Arial"/>
          <w:sz w:val="20"/>
        </w:rPr>
      </w:pPr>
      <w:r w:rsidRPr="00005410">
        <w:rPr>
          <w:rFonts w:cs="Arial"/>
          <w:sz w:val="20"/>
        </w:rPr>
        <w:tab/>
        <w:t>A Lei nº 8.080/90, que regula as ações de saúde no território nacional, dispõe, também, que ao Município compete normatizar complementarmente as ações e serviços públicos de saúde no seu âmbito de atuação (art. 18, inciso XII).</w:t>
      </w:r>
    </w:p>
    <w:p w:rsidR="00005410" w:rsidRPr="00005410" w:rsidRDefault="00005410" w:rsidP="0061722A">
      <w:pPr>
        <w:jc w:val="both"/>
        <w:rPr>
          <w:rFonts w:ascii="Arial" w:hAnsi="Arial" w:cs="Arial"/>
          <w:sz w:val="20"/>
          <w:szCs w:val="20"/>
        </w:rPr>
      </w:pPr>
      <w:r w:rsidRPr="000054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005410">
        <w:rPr>
          <w:rFonts w:ascii="Arial" w:hAnsi="Arial" w:cs="Arial"/>
          <w:sz w:val="20"/>
          <w:szCs w:val="20"/>
        </w:rPr>
        <w:t xml:space="preserve"> matéria objeto da proposição</w:t>
      </w:r>
      <w:r>
        <w:rPr>
          <w:rFonts w:ascii="Arial" w:hAnsi="Arial" w:cs="Arial"/>
          <w:sz w:val="20"/>
          <w:szCs w:val="20"/>
        </w:rPr>
        <w:t xml:space="preserve"> se insere no âmbito de competência municipal, inexistindo óbice jurídico à tramitação, sob tal enfoque</w:t>
      </w:r>
      <w:r w:rsidRPr="00005410">
        <w:rPr>
          <w:rFonts w:ascii="Arial" w:hAnsi="Arial" w:cs="Arial"/>
          <w:sz w:val="20"/>
          <w:szCs w:val="20"/>
        </w:rPr>
        <w:t>.</w:t>
      </w:r>
    </w:p>
    <w:p w:rsidR="00005410" w:rsidRPr="00005410" w:rsidRDefault="00005410" w:rsidP="0061722A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005410">
        <w:rPr>
          <w:rFonts w:ascii="Arial" w:hAnsi="Arial" w:cs="Arial"/>
          <w:sz w:val="20"/>
          <w:szCs w:val="20"/>
        </w:rPr>
        <w:t xml:space="preserve">Contudo, </w:t>
      </w:r>
      <w:r>
        <w:rPr>
          <w:rFonts w:ascii="Arial" w:hAnsi="Arial" w:cs="Arial"/>
          <w:sz w:val="20"/>
          <w:szCs w:val="20"/>
        </w:rPr>
        <w:t>de ressalvar que</w:t>
      </w:r>
      <w:r w:rsidR="0061722A">
        <w:rPr>
          <w:rFonts w:ascii="Arial" w:hAnsi="Arial" w:cs="Arial"/>
          <w:sz w:val="20"/>
          <w:szCs w:val="20"/>
        </w:rPr>
        <w:t xml:space="preserve"> os conteúdos normativos dos artigos 3º e 5º do projeto de lei, porque implicam interferência na administração de órgãos públicos, vênia concedida, incidem </w:t>
      </w:r>
      <w:r w:rsidR="00EF2EA6">
        <w:rPr>
          <w:rFonts w:ascii="Arial" w:hAnsi="Arial" w:cs="Arial"/>
          <w:sz w:val="20"/>
          <w:szCs w:val="20"/>
        </w:rPr>
        <w:t>em violação</w:t>
      </w:r>
      <w:r w:rsidR="0061722A">
        <w:rPr>
          <w:rFonts w:ascii="Arial" w:hAnsi="Arial" w:cs="Arial"/>
          <w:sz w:val="20"/>
          <w:szCs w:val="20"/>
        </w:rPr>
        <w:t xml:space="preserve"> ao </w:t>
      </w:r>
      <w:r w:rsidRPr="00005410">
        <w:rPr>
          <w:rFonts w:ascii="Arial" w:hAnsi="Arial" w:cs="Arial"/>
          <w:sz w:val="20"/>
          <w:szCs w:val="20"/>
        </w:rPr>
        <w:t xml:space="preserve">disposto no artigo 94, inciso IV, da Lei Orgânica, </w:t>
      </w:r>
      <w:r w:rsidR="0061722A">
        <w:rPr>
          <w:rFonts w:ascii="Arial" w:hAnsi="Arial" w:cs="Arial"/>
          <w:sz w:val="20"/>
          <w:szCs w:val="20"/>
        </w:rPr>
        <w:t xml:space="preserve">que atribui </w:t>
      </w:r>
      <w:r w:rsidRPr="00005410">
        <w:rPr>
          <w:rFonts w:ascii="Arial" w:hAnsi="Arial" w:cs="Arial"/>
          <w:sz w:val="20"/>
          <w:szCs w:val="20"/>
        </w:rPr>
        <w:t>compet</w:t>
      </w:r>
      <w:r w:rsidR="0061722A">
        <w:rPr>
          <w:rFonts w:ascii="Arial" w:hAnsi="Arial" w:cs="Arial"/>
          <w:sz w:val="20"/>
          <w:szCs w:val="20"/>
        </w:rPr>
        <w:t xml:space="preserve">ência </w:t>
      </w:r>
      <w:r w:rsidRPr="00005410">
        <w:rPr>
          <w:rFonts w:ascii="Arial" w:hAnsi="Arial" w:cs="Arial"/>
          <w:sz w:val="20"/>
          <w:szCs w:val="20"/>
        </w:rPr>
        <w:t>privativa</w:t>
      </w:r>
      <w:r w:rsidR="0061722A">
        <w:rPr>
          <w:rFonts w:ascii="Arial" w:hAnsi="Arial" w:cs="Arial"/>
          <w:sz w:val="20"/>
          <w:szCs w:val="20"/>
        </w:rPr>
        <w:t xml:space="preserve"> </w:t>
      </w:r>
      <w:r w:rsidRPr="00005410">
        <w:rPr>
          <w:rFonts w:ascii="Arial" w:hAnsi="Arial" w:cs="Arial"/>
          <w:sz w:val="20"/>
          <w:szCs w:val="20"/>
        </w:rPr>
        <w:t xml:space="preserve">ao Chefe do Poder Executivo </w:t>
      </w:r>
      <w:r w:rsidR="0061722A">
        <w:rPr>
          <w:rFonts w:ascii="Arial" w:hAnsi="Arial" w:cs="Arial"/>
          <w:sz w:val="20"/>
          <w:szCs w:val="20"/>
        </w:rPr>
        <w:t>realizar a gestão do Município</w:t>
      </w:r>
      <w:r w:rsidRPr="00005410">
        <w:rPr>
          <w:rFonts w:ascii="Arial" w:hAnsi="Arial" w:cs="Arial"/>
          <w:sz w:val="20"/>
          <w:szCs w:val="20"/>
        </w:rPr>
        <w:t xml:space="preserve">. </w:t>
      </w:r>
    </w:p>
    <w:p w:rsidR="00A20DD4" w:rsidRDefault="00A20DD4" w:rsidP="006172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20DD4" w:rsidRDefault="00A20DD4" w:rsidP="0061722A">
      <w:pPr>
        <w:pStyle w:val="Corpodetexto"/>
        <w:rPr>
          <w:rFonts w:cs="Arial"/>
          <w:sz w:val="20"/>
        </w:rPr>
      </w:pPr>
      <w:bookmarkStart w:id="0" w:name="_GoBack"/>
      <w:bookmarkEnd w:id="0"/>
    </w:p>
    <w:p w:rsidR="00A20DD4" w:rsidRDefault="00A20DD4" w:rsidP="0061722A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À Diretoria Legislativa, para processamento na forma regimental.</w:t>
      </w:r>
    </w:p>
    <w:p w:rsidR="00A20DD4" w:rsidRDefault="00A20DD4" w:rsidP="0061722A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>Em 0</w:t>
      </w:r>
      <w:r w:rsidR="0061722A">
        <w:rPr>
          <w:rFonts w:cs="Arial"/>
          <w:sz w:val="20"/>
        </w:rPr>
        <w:t>7</w:t>
      </w:r>
      <w:r>
        <w:rPr>
          <w:rFonts w:cs="Arial"/>
          <w:sz w:val="20"/>
        </w:rPr>
        <w:t xml:space="preserve"> de </w:t>
      </w:r>
      <w:r w:rsidR="0061722A">
        <w:rPr>
          <w:rFonts w:cs="Arial"/>
          <w:sz w:val="20"/>
        </w:rPr>
        <w:t>março</w:t>
      </w:r>
      <w:r>
        <w:rPr>
          <w:rFonts w:cs="Arial"/>
          <w:sz w:val="20"/>
        </w:rPr>
        <w:t xml:space="preserve"> de 201</w:t>
      </w:r>
      <w:r w:rsidR="0061722A"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A20DD4" w:rsidRDefault="00A20DD4" w:rsidP="00A20DD4">
      <w:pPr>
        <w:pStyle w:val="Corpodetexto"/>
        <w:ind w:firstLine="1077"/>
        <w:rPr>
          <w:rFonts w:cs="Arial"/>
          <w:sz w:val="20"/>
        </w:rPr>
      </w:pPr>
    </w:p>
    <w:p w:rsidR="00A20DD4" w:rsidRDefault="00A20DD4" w:rsidP="00A20DD4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A20DD4" w:rsidRDefault="00A20DD4" w:rsidP="00A20DD4">
      <w:pPr>
        <w:pStyle w:val="Corpodetexto"/>
        <w:ind w:firstLine="1080"/>
        <w:rPr>
          <w:rFonts w:cs="Arial"/>
          <w:sz w:val="20"/>
        </w:rPr>
      </w:pPr>
    </w:p>
    <w:p w:rsidR="00A20DD4" w:rsidRDefault="00A20DD4" w:rsidP="00A20DD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A20DD4" w:rsidRDefault="00A20DD4" w:rsidP="00A20DD4">
      <w:pPr>
        <w:pStyle w:val="Corpodetexto"/>
        <w:ind w:firstLine="708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A20DD4" w:rsidRDefault="00A20DD4" w:rsidP="00A20DD4"/>
    <w:p w:rsidR="00005410" w:rsidRPr="00005410" w:rsidRDefault="00005410" w:rsidP="00005410">
      <w:pPr>
        <w:pStyle w:val="Corpodetexto"/>
        <w:ind w:firstLine="1418"/>
        <w:rPr>
          <w:rFonts w:cs="Arial"/>
          <w:i/>
          <w:sz w:val="20"/>
        </w:rPr>
      </w:pPr>
    </w:p>
    <w:p w:rsidR="00005410" w:rsidRDefault="00005410" w:rsidP="00005410">
      <w:pPr>
        <w:jc w:val="both"/>
        <w:rPr>
          <w:rFonts w:ascii="Arial" w:hAnsi="Arial" w:cs="Arial"/>
          <w:sz w:val="20"/>
          <w:szCs w:val="20"/>
        </w:rPr>
      </w:pPr>
    </w:p>
    <w:p w:rsidR="00A20DD4" w:rsidRDefault="00A20DD4" w:rsidP="00A20DD4"/>
    <w:p w:rsidR="00A20DD4" w:rsidRDefault="00A20DD4" w:rsidP="00A20DD4">
      <w:pPr>
        <w:jc w:val="both"/>
        <w:rPr>
          <w:rFonts w:ascii="Arial" w:hAnsi="Arial" w:cs="Arial"/>
          <w:sz w:val="20"/>
          <w:szCs w:val="20"/>
        </w:rPr>
      </w:pPr>
    </w:p>
    <w:p w:rsidR="00A20DD4" w:rsidRDefault="00A20DD4" w:rsidP="00A20DD4">
      <w:pPr>
        <w:rPr>
          <w:rFonts w:ascii="Arial" w:hAnsi="Arial" w:cs="Arial"/>
          <w:sz w:val="20"/>
          <w:szCs w:val="20"/>
        </w:rPr>
      </w:pPr>
    </w:p>
    <w:p w:rsidR="00A20DD4" w:rsidRDefault="00A20DD4" w:rsidP="00A20DD4">
      <w:pPr>
        <w:rPr>
          <w:sz w:val="20"/>
          <w:szCs w:val="20"/>
        </w:rPr>
      </w:pPr>
    </w:p>
    <w:p w:rsidR="00A20DD4" w:rsidRDefault="00A20DD4" w:rsidP="00A20DD4">
      <w:pPr>
        <w:jc w:val="both"/>
      </w:pPr>
    </w:p>
    <w:p w:rsidR="00A20DD4" w:rsidRDefault="00A20DD4" w:rsidP="00A20DD4"/>
    <w:p w:rsidR="00A20DD4" w:rsidRDefault="00A20DD4" w:rsidP="00A20DD4"/>
    <w:p w:rsidR="00933B8E" w:rsidRDefault="00933B8E"/>
    <w:sectPr w:rsidR="00933B8E" w:rsidSect="0000541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4"/>
    <w:rsid w:val="00005410"/>
    <w:rsid w:val="00432052"/>
    <w:rsid w:val="0061722A"/>
    <w:rsid w:val="00933B8E"/>
    <w:rsid w:val="00A20DD4"/>
    <w:rsid w:val="00E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E2C2-338D-479C-A05F-BBDC0F24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205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20DD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20DD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20DD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0DD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054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54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32052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2016-03-07T16:57:00Z</dcterms:created>
  <dcterms:modified xsi:type="dcterms:W3CDTF">2016-03-07T17:14:00Z</dcterms:modified>
</cp:coreProperties>
</file>