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4A" w:rsidRDefault="00EC5F4A" w:rsidP="00EC5F4A">
      <w:pPr>
        <w:pStyle w:val="Cabealho"/>
        <w:jc w:val="center"/>
        <w:rPr>
          <w:rFonts w:ascii="Arial" w:hAnsi="Arial" w:cs="Arial"/>
          <w:b/>
          <w:sz w:val="20"/>
        </w:rPr>
      </w:pPr>
      <w:r>
        <w:rPr>
          <w:rFonts w:ascii="Arial" w:hAnsi="Arial"/>
          <w:b/>
          <w:sz w:val="20"/>
        </w:rPr>
        <w:t>C</w:t>
      </w:r>
      <w:r>
        <w:rPr>
          <w:rFonts w:ascii="Arial" w:hAnsi="Arial" w:cs="Arial"/>
          <w:b/>
          <w:sz w:val="20"/>
        </w:rPr>
        <w:t>ÂMARA MUNICIPAL DE PORTO ALEGRE</w:t>
      </w:r>
    </w:p>
    <w:p w:rsidR="00EC5F4A" w:rsidRDefault="00EC5F4A" w:rsidP="00EC5F4A">
      <w:pPr>
        <w:jc w:val="center"/>
        <w:rPr>
          <w:rFonts w:ascii="Arial" w:hAnsi="Arial" w:cs="Arial"/>
          <w:b/>
          <w:sz w:val="20"/>
          <w:szCs w:val="20"/>
        </w:rPr>
      </w:pPr>
      <w:r>
        <w:rPr>
          <w:rFonts w:ascii="Arial" w:hAnsi="Arial" w:cs="Arial"/>
          <w:b/>
          <w:sz w:val="20"/>
          <w:szCs w:val="20"/>
        </w:rPr>
        <w:t>PROCURADORIA</w:t>
      </w:r>
    </w:p>
    <w:p w:rsidR="00EC5F4A" w:rsidRDefault="00EC5F4A" w:rsidP="00EC5F4A">
      <w:pPr>
        <w:rPr>
          <w:rFonts w:ascii="Arial" w:hAnsi="Arial" w:cs="Arial"/>
          <w:b/>
          <w:sz w:val="20"/>
          <w:szCs w:val="20"/>
        </w:rPr>
      </w:pPr>
    </w:p>
    <w:p w:rsidR="00EC5F4A" w:rsidRDefault="00EC5F4A" w:rsidP="00EC5F4A">
      <w:pPr>
        <w:rPr>
          <w:rFonts w:ascii="Arial" w:hAnsi="Arial" w:cs="Arial"/>
          <w:b/>
          <w:sz w:val="20"/>
          <w:szCs w:val="20"/>
        </w:rPr>
      </w:pPr>
    </w:p>
    <w:p w:rsidR="00EC5F4A" w:rsidRDefault="00EC5F4A" w:rsidP="00EC5F4A">
      <w:pPr>
        <w:rPr>
          <w:rFonts w:ascii="Arial" w:hAnsi="Arial" w:cs="Arial"/>
          <w:b/>
          <w:sz w:val="20"/>
          <w:szCs w:val="20"/>
        </w:rPr>
      </w:pPr>
      <w:r>
        <w:rPr>
          <w:rFonts w:ascii="Arial" w:hAnsi="Arial" w:cs="Arial"/>
          <w:b/>
          <w:sz w:val="20"/>
          <w:szCs w:val="20"/>
        </w:rPr>
        <w:t xml:space="preserve">PARECER Nº </w:t>
      </w:r>
      <w:r w:rsidR="00C40388">
        <w:rPr>
          <w:rFonts w:ascii="Arial" w:hAnsi="Arial" w:cs="Arial"/>
          <w:b/>
          <w:sz w:val="20"/>
          <w:szCs w:val="20"/>
        </w:rPr>
        <w:t>176</w:t>
      </w:r>
      <w:r>
        <w:rPr>
          <w:rFonts w:ascii="Arial" w:hAnsi="Arial" w:cs="Arial"/>
          <w:b/>
          <w:sz w:val="20"/>
          <w:szCs w:val="20"/>
        </w:rPr>
        <w:t>/16.</w:t>
      </w:r>
    </w:p>
    <w:p w:rsidR="00EC5F4A" w:rsidRDefault="00EC5F4A" w:rsidP="00EC5F4A">
      <w:pPr>
        <w:ind w:left="4536"/>
        <w:rPr>
          <w:rFonts w:ascii="Arial" w:hAnsi="Arial" w:cs="Arial"/>
          <w:b/>
          <w:sz w:val="20"/>
          <w:szCs w:val="20"/>
        </w:rPr>
      </w:pPr>
    </w:p>
    <w:p w:rsidR="00EC5F4A" w:rsidRDefault="00EC5F4A" w:rsidP="00EC5F4A">
      <w:pPr>
        <w:ind w:left="4248"/>
        <w:rPr>
          <w:rFonts w:ascii="Arial" w:hAnsi="Arial" w:cs="Arial"/>
          <w:b/>
          <w:sz w:val="20"/>
          <w:szCs w:val="20"/>
        </w:rPr>
      </w:pPr>
      <w:r>
        <w:rPr>
          <w:rFonts w:ascii="Arial" w:hAnsi="Arial" w:cs="Arial"/>
          <w:b/>
          <w:sz w:val="20"/>
          <w:szCs w:val="20"/>
        </w:rPr>
        <w:t>PROCESSO Nº 379/16.</w:t>
      </w:r>
    </w:p>
    <w:p w:rsidR="00EC5F4A" w:rsidRDefault="00EC5F4A" w:rsidP="00EC5F4A">
      <w:pPr>
        <w:ind w:left="3540" w:firstLine="708"/>
        <w:rPr>
          <w:rFonts w:ascii="Arial" w:hAnsi="Arial" w:cs="Arial"/>
          <w:b/>
          <w:sz w:val="20"/>
          <w:szCs w:val="20"/>
        </w:rPr>
      </w:pPr>
      <w:r>
        <w:rPr>
          <w:rFonts w:ascii="Arial" w:hAnsi="Arial" w:cs="Arial"/>
          <w:b/>
          <w:sz w:val="20"/>
          <w:szCs w:val="20"/>
        </w:rPr>
        <w:t>PLL Nº  32/16.</w:t>
      </w:r>
    </w:p>
    <w:p w:rsidR="00EC5F4A" w:rsidRDefault="00EC5F4A" w:rsidP="00EC5F4A">
      <w:pPr>
        <w:pStyle w:val="Cabealho"/>
        <w:jc w:val="center"/>
        <w:rPr>
          <w:rFonts w:ascii="Arial" w:hAnsi="Arial" w:cs="Arial"/>
          <w:b/>
          <w:sz w:val="20"/>
        </w:rPr>
      </w:pPr>
    </w:p>
    <w:p w:rsidR="00EC5F4A" w:rsidRDefault="00EC5F4A" w:rsidP="00EC5F4A">
      <w:pPr>
        <w:rPr>
          <w:rFonts w:ascii="Arial" w:hAnsi="Arial" w:cs="Arial"/>
          <w:b/>
          <w:sz w:val="20"/>
          <w:szCs w:val="20"/>
        </w:rPr>
      </w:pPr>
    </w:p>
    <w:p w:rsidR="00EC5F4A" w:rsidRDefault="00EC5F4A" w:rsidP="00EC5F4A">
      <w:pPr>
        <w:jc w:val="both"/>
        <w:rPr>
          <w:rFonts w:ascii="Arial" w:hAnsi="Arial" w:cs="Arial"/>
          <w:sz w:val="20"/>
          <w:szCs w:val="20"/>
        </w:rPr>
      </w:pPr>
      <w:r>
        <w:rPr>
          <w:rFonts w:ascii="Arial" w:hAnsi="Arial" w:cs="Arial"/>
          <w:b/>
          <w:sz w:val="20"/>
          <w:szCs w:val="20"/>
        </w:rPr>
        <w:tab/>
      </w:r>
      <w:r>
        <w:rPr>
          <w:rFonts w:ascii="Arial" w:hAnsi="Arial" w:cs="Arial"/>
          <w:sz w:val="20"/>
          <w:szCs w:val="20"/>
        </w:rPr>
        <w:t xml:space="preserve">É submetido a exame desta Procuradoria, para parecer prévio, o Projeto de Lei do Legislativo em epígrafe, que obriga a comprovação de formação específica na área de radiologia, no mínimo em nível técnico, por operadores de equipamentos emissores de radiação ionizante ou campo eletromagnético usados para salvaguardar, inspecionar bagagens, irradiação ou produção e imagens </w:t>
      </w:r>
      <w:r w:rsidR="00E714B2">
        <w:rPr>
          <w:rFonts w:ascii="Arial" w:hAnsi="Arial" w:cs="Arial"/>
          <w:sz w:val="20"/>
          <w:szCs w:val="20"/>
        </w:rPr>
        <w:t>radiológicas com</w:t>
      </w:r>
      <w:r>
        <w:rPr>
          <w:rFonts w:ascii="Arial" w:hAnsi="Arial" w:cs="Arial"/>
          <w:sz w:val="20"/>
          <w:szCs w:val="20"/>
        </w:rPr>
        <w:t xml:space="preserve"> a finalidade de inspeção de segurança, e dá outras providencias.</w:t>
      </w:r>
    </w:p>
    <w:p w:rsidR="00A977D2" w:rsidRDefault="00A977D2" w:rsidP="00C40388">
      <w:pPr>
        <w:pStyle w:val="Corpodetexto"/>
        <w:ind w:firstLine="709"/>
        <w:jc w:val="both"/>
        <w:rPr>
          <w:rFonts w:cs="Arial"/>
          <w:sz w:val="20"/>
        </w:rPr>
      </w:pPr>
      <w:r>
        <w:rPr>
          <w:rFonts w:cs="Arial"/>
          <w:sz w:val="20"/>
        </w:rPr>
        <w:t>Consoante dispõe a Constituição da República, aos Municípios compete legislar sobre assuntos de interesse local e, de forma comum com a União e os Estados, cuidar da saúde e assistência pública (arts. 23, inciso II, e 30, inciso I).</w:t>
      </w:r>
    </w:p>
    <w:p w:rsidR="00A977D2" w:rsidRDefault="00A977D2" w:rsidP="00C40388">
      <w:pPr>
        <w:pStyle w:val="Corpodetexto"/>
        <w:jc w:val="both"/>
        <w:rPr>
          <w:rFonts w:cs="Arial"/>
          <w:sz w:val="20"/>
        </w:rPr>
      </w:pPr>
      <w:r>
        <w:rPr>
          <w:rFonts w:cs="Arial"/>
          <w:sz w:val="20"/>
        </w:rPr>
        <w:tab/>
        <w:t xml:space="preserve">A Constituição do Estado do RGS declara a competência do Município para exercer o poder de polícia administrativa nas matérias de interesse local (art. 13, inciso I). </w:t>
      </w:r>
    </w:p>
    <w:p w:rsidR="00A977D2" w:rsidRDefault="00A977D2" w:rsidP="00A977D2">
      <w:pPr>
        <w:jc w:val="both"/>
        <w:rPr>
          <w:rFonts w:ascii="Arial" w:hAnsi="Arial" w:cs="Arial"/>
          <w:sz w:val="20"/>
          <w:szCs w:val="20"/>
        </w:rPr>
      </w:pPr>
      <w:r>
        <w:rPr>
          <w:rFonts w:ascii="Arial" w:hAnsi="Arial" w:cs="Arial"/>
          <w:sz w:val="20"/>
          <w:szCs w:val="20"/>
        </w:rPr>
        <w:tab/>
        <w:t>A Lei Orgânica, por sua vez, estatui competir ao Município para prover tudo quanto concerne ao interesse local e para licenciar para funcionamento os estabelecimentos comerciais, industriais, de serviço e similares, fixando condições de atendimento (art. 8º, inciso IV; art. 9º, inciso II e XII).</w:t>
      </w:r>
    </w:p>
    <w:p w:rsidR="00A977D2" w:rsidRDefault="00A977D2" w:rsidP="00A977D2">
      <w:pPr>
        <w:jc w:val="both"/>
        <w:rPr>
          <w:rFonts w:ascii="Arial" w:hAnsi="Arial" w:cs="Arial"/>
          <w:sz w:val="20"/>
          <w:szCs w:val="20"/>
        </w:rPr>
      </w:pPr>
      <w:r>
        <w:rPr>
          <w:rFonts w:ascii="Arial" w:hAnsi="Arial" w:cs="Arial"/>
          <w:sz w:val="20"/>
          <w:szCs w:val="20"/>
        </w:rPr>
        <w:tab/>
        <w:t>Dispõe, ainda, constituir atribuição do Município a promoção do direito à saúde e a normatização das ações e serviços de saúde, competindo-lhe, também, o controle e fiscalização de qualquer atividade e serviço que envolva risco à saúde (arts. 160, e 161, incisos XVII, XVIII).</w:t>
      </w:r>
    </w:p>
    <w:p w:rsidR="00FC0F03" w:rsidRDefault="003660B2" w:rsidP="003660B2">
      <w:pPr>
        <w:ind w:firstLine="708"/>
        <w:jc w:val="both"/>
        <w:rPr>
          <w:rFonts w:ascii="Arial" w:hAnsi="Arial" w:cs="Arial"/>
          <w:sz w:val="20"/>
          <w:szCs w:val="20"/>
        </w:rPr>
      </w:pPr>
      <w:r>
        <w:rPr>
          <w:rFonts w:ascii="Arial" w:hAnsi="Arial" w:cs="Arial"/>
          <w:sz w:val="20"/>
          <w:szCs w:val="20"/>
        </w:rPr>
        <w:t>Conforme se infere do exposto, há previsão legal para atuação do legislador municipal no âmbito da matéria objeto da proposição.</w:t>
      </w:r>
    </w:p>
    <w:p w:rsidR="00EC5F4A" w:rsidRDefault="003660B2" w:rsidP="00EC5F4A">
      <w:pPr>
        <w:jc w:val="both"/>
        <w:rPr>
          <w:rFonts w:ascii="Arial" w:hAnsi="Arial" w:cs="Arial"/>
          <w:sz w:val="20"/>
          <w:szCs w:val="20"/>
        </w:rPr>
      </w:pPr>
      <w:r w:rsidRPr="00FC0F03">
        <w:rPr>
          <w:rFonts w:ascii="Arial" w:hAnsi="Arial" w:cs="Arial"/>
          <w:sz w:val="20"/>
          <w:szCs w:val="20"/>
        </w:rPr>
        <w:tab/>
      </w:r>
      <w:r w:rsidR="007D4367">
        <w:rPr>
          <w:rFonts w:ascii="Arial" w:hAnsi="Arial" w:cs="Arial"/>
          <w:sz w:val="20"/>
          <w:szCs w:val="20"/>
        </w:rPr>
        <w:t>Contudo, o</w:t>
      </w:r>
      <w:r w:rsidR="00943E35">
        <w:rPr>
          <w:rFonts w:ascii="Arial" w:hAnsi="Arial" w:cs="Arial"/>
          <w:sz w:val="20"/>
          <w:szCs w:val="20"/>
        </w:rPr>
        <w:t xml:space="preserve"> projeto de lei</w:t>
      </w:r>
      <w:r w:rsidR="00742261">
        <w:rPr>
          <w:rFonts w:ascii="Arial" w:hAnsi="Arial" w:cs="Arial"/>
          <w:sz w:val="20"/>
          <w:szCs w:val="20"/>
        </w:rPr>
        <w:t xml:space="preserve"> tem conteúdo normativo que</w:t>
      </w:r>
      <w:r w:rsidR="007D4367">
        <w:rPr>
          <w:rFonts w:ascii="Arial" w:hAnsi="Arial" w:cs="Arial"/>
          <w:sz w:val="20"/>
          <w:szCs w:val="20"/>
        </w:rPr>
        <w:t xml:space="preserve"> </w:t>
      </w:r>
      <w:r w:rsidR="00C40388" w:rsidRPr="00FC0F03">
        <w:rPr>
          <w:rFonts w:ascii="Arial" w:hAnsi="Arial" w:cs="Arial"/>
          <w:sz w:val="20"/>
          <w:szCs w:val="20"/>
        </w:rPr>
        <w:t>extrapola</w:t>
      </w:r>
      <w:r w:rsidR="007D4367">
        <w:rPr>
          <w:rFonts w:ascii="Arial" w:hAnsi="Arial" w:cs="Arial"/>
          <w:sz w:val="20"/>
          <w:szCs w:val="20"/>
        </w:rPr>
        <w:t xml:space="preserve"> do âmbito do mero interesse local, </w:t>
      </w:r>
      <w:r w:rsidR="003A3A22" w:rsidRPr="00FC0F03">
        <w:rPr>
          <w:rFonts w:ascii="Arial" w:hAnsi="Arial" w:cs="Arial"/>
          <w:sz w:val="20"/>
          <w:szCs w:val="20"/>
        </w:rPr>
        <w:t>incid</w:t>
      </w:r>
      <w:r w:rsidR="00742261">
        <w:rPr>
          <w:rFonts w:ascii="Arial" w:hAnsi="Arial" w:cs="Arial"/>
          <w:sz w:val="20"/>
          <w:szCs w:val="20"/>
        </w:rPr>
        <w:t>indo</w:t>
      </w:r>
      <w:r w:rsidR="007D4367">
        <w:rPr>
          <w:rFonts w:ascii="Arial" w:hAnsi="Arial" w:cs="Arial"/>
          <w:sz w:val="20"/>
          <w:szCs w:val="20"/>
        </w:rPr>
        <w:t xml:space="preserve">, com a devia vênia, </w:t>
      </w:r>
      <w:r w:rsidR="003A3A22" w:rsidRPr="00FC0F03">
        <w:rPr>
          <w:rFonts w:ascii="Arial" w:hAnsi="Arial" w:cs="Arial"/>
          <w:sz w:val="20"/>
          <w:szCs w:val="20"/>
        </w:rPr>
        <w:t xml:space="preserve">em </w:t>
      </w:r>
      <w:r w:rsidRPr="00FC0F03">
        <w:rPr>
          <w:rFonts w:ascii="Arial" w:hAnsi="Arial" w:cs="Arial"/>
          <w:sz w:val="20"/>
          <w:szCs w:val="20"/>
        </w:rPr>
        <w:t>violação ao preceito do</w:t>
      </w:r>
      <w:r w:rsidR="00EC5F4A" w:rsidRPr="00FC0F03">
        <w:rPr>
          <w:rFonts w:ascii="Arial" w:hAnsi="Arial" w:cs="Arial"/>
          <w:sz w:val="20"/>
          <w:szCs w:val="20"/>
        </w:rPr>
        <w:t xml:space="preserve"> </w:t>
      </w:r>
      <w:r w:rsidR="003A3A22" w:rsidRPr="00FC0F03">
        <w:rPr>
          <w:rFonts w:ascii="Arial" w:hAnsi="Arial" w:cs="Arial"/>
          <w:sz w:val="20"/>
          <w:szCs w:val="20"/>
        </w:rPr>
        <w:t>artigo 30, inciso I</w:t>
      </w:r>
      <w:r w:rsidR="00A977D2" w:rsidRPr="00FC0F03">
        <w:rPr>
          <w:rFonts w:ascii="Arial" w:hAnsi="Arial" w:cs="Arial"/>
          <w:sz w:val="20"/>
          <w:szCs w:val="20"/>
        </w:rPr>
        <w:t>,</w:t>
      </w:r>
      <w:r w:rsidR="007D4367">
        <w:rPr>
          <w:rFonts w:ascii="Arial" w:hAnsi="Arial" w:cs="Arial"/>
          <w:sz w:val="20"/>
          <w:szCs w:val="20"/>
        </w:rPr>
        <w:t xml:space="preserve"> d</w:t>
      </w:r>
      <w:r w:rsidR="00EC5F4A" w:rsidRPr="00FC0F03">
        <w:rPr>
          <w:rFonts w:ascii="Arial" w:hAnsi="Arial" w:cs="Arial"/>
          <w:sz w:val="20"/>
          <w:szCs w:val="20"/>
        </w:rPr>
        <w:t xml:space="preserve">a Constituição da República. </w:t>
      </w:r>
    </w:p>
    <w:p w:rsidR="007D4367" w:rsidRDefault="007D4367" w:rsidP="007D4367">
      <w:pPr>
        <w:ind w:firstLine="708"/>
        <w:jc w:val="both"/>
        <w:rPr>
          <w:rFonts w:ascii="Arial" w:hAnsi="Arial" w:cs="Arial"/>
          <w:color w:val="000000"/>
          <w:sz w:val="20"/>
          <w:szCs w:val="20"/>
        </w:rPr>
      </w:pPr>
      <w:r>
        <w:rPr>
          <w:rFonts w:ascii="Arial" w:hAnsi="Arial" w:cs="Arial"/>
          <w:bCs/>
          <w:color w:val="000000"/>
          <w:sz w:val="20"/>
          <w:szCs w:val="20"/>
          <w:shd w:val="clear" w:color="auto" w:fill="FFFFFF"/>
        </w:rPr>
        <w:t xml:space="preserve">Sinale-se, no </w:t>
      </w:r>
      <w:r w:rsidR="00646401">
        <w:rPr>
          <w:rFonts w:ascii="Arial" w:hAnsi="Arial" w:cs="Arial"/>
          <w:bCs/>
          <w:color w:val="000000"/>
          <w:sz w:val="20"/>
          <w:szCs w:val="20"/>
          <w:shd w:val="clear" w:color="auto" w:fill="FFFFFF"/>
        </w:rPr>
        <w:t>aspecto, que</w:t>
      </w:r>
      <w:r>
        <w:rPr>
          <w:rFonts w:ascii="Arial" w:hAnsi="Arial" w:cs="Arial"/>
          <w:bCs/>
          <w:color w:val="000000"/>
          <w:sz w:val="20"/>
          <w:szCs w:val="20"/>
          <w:shd w:val="clear" w:color="auto" w:fill="FFFFFF"/>
        </w:rPr>
        <w:t xml:space="preserve"> </w:t>
      </w:r>
      <w:r>
        <w:rPr>
          <w:rFonts w:ascii="Arial" w:hAnsi="Arial" w:cs="Arial"/>
          <w:bCs/>
          <w:color w:val="000000"/>
          <w:sz w:val="20"/>
          <w:szCs w:val="20"/>
          <w:shd w:val="clear" w:color="auto" w:fill="FFFFFF"/>
        </w:rPr>
        <w:t>a d</w:t>
      </w:r>
      <w:r w:rsidRPr="00FC0F03">
        <w:rPr>
          <w:rFonts w:ascii="Arial" w:hAnsi="Arial" w:cs="Arial"/>
          <w:bCs/>
          <w:color w:val="000000"/>
          <w:sz w:val="20"/>
          <w:szCs w:val="20"/>
          <w:shd w:val="clear" w:color="auto" w:fill="FFFFFF"/>
        </w:rPr>
        <w:t xml:space="preserve">a </w:t>
      </w:r>
      <w:r>
        <w:rPr>
          <w:rFonts w:ascii="Arial" w:hAnsi="Arial" w:cs="Arial"/>
          <w:bCs/>
          <w:color w:val="000000"/>
          <w:sz w:val="20"/>
          <w:szCs w:val="20"/>
          <w:shd w:val="clear" w:color="auto" w:fill="FFFFFF"/>
        </w:rPr>
        <w:t>L</w:t>
      </w:r>
      <w:r w:rsidRPr="00FC0F03">
        <w:rPr>
          <w:rFonts w:ascii="Arial" w:hAnsi="Arial" w:cs="Arial"/>
          <w:bCs/>
          <w:color w:val="000000"/>
          <w:sz w:val="20"/>
          <w:szCs w:val="20"/>
          <w:shd w:val="clear" w:color="auto" w:fill="FFFFFF"/>
        </w:rPr>
        <w:t>ei nº 11.182/ 2005</w:t>
      </w:r>
      <w:r>
        <w:rPr>
          <w:rFonts w:ascii="Arial" w:hAnsi="Arial" w:cs="Arial"/>
          <w:bCs/>
          <w:color w:val="000000"/>
          <w:sz w:val="20"/>
          <w:szCs w:val="20"/>
          <w:shd w:val="clear" w:color="auto" w:fill="FFFFFF"/>
        </w:rPr>
        <w:t xml:space="preserve"> </w:t>
      </w:r>
      <w:r w:rsidR="00646401">
        <w:rPr>
          <w:rFonts w:ascii="Arial" w:hAnsi="Arial" w:cs="Arial"/>
          <w:bCs/>
          <w:color w:val="000000"/>
          <w:sz w:val="20"/>
          <w:szCs w:val="20"/>
          <w:shd w:val="clear" w:color="auto" w:fill="FFFFFF"/>
        </w:rPr>
        <w:t>dispõe</w:t>
      </w:r>
      <w:r>
        <w:rPr>
          <w:rFonts w:ascii="Arial" w:hAnsi="Arial" w:cs="Arial"/>
          <w:bCs/>
          <w:color w:val="000000"/>
          <w:sz w:val="20"/>
          <w:szCs w:val="20"/>
          <w:shd w:val="clear" w:color="auto" w:fill="FFFFFF"/>
        </w:rPr>
        <w:t xml:space="preserve"> compet</w:t>
      </w:r>
      <w:r>
        <w:rPr>
          <w:rFonts w:ascii="Arial" w:hAnsi="Arial" w:cs="Arial"/>
          <w:bCs/>
          <w:color w:val="000000"/>
          <w:sz w:val="20"/>
          <w:szCs w:val="20"/>
          <w:shd w:val="clear" w:color="auto" w:fill="FFFFFF"/>
        </w:rPr>
        <w:t>ir</w:t>
      </w:r>
      <w:r>
        <w:rPr>
          <w:rFonts w:ascii="Arial" w:hAnsi="Arial" w:cs="Arial"/>
          <w:bCs/>
          <w:color w:val="000000"/>
          <w:sz w:val="20"/>
          <w:szCs w:val="20"/>
          <w:shd w:val="clear" w:color="auto" w:fill="FFFFFF"/>
        </w:rPr>
        <w:t xml:space="preserve"> à </w:t>
      </w:r>
      <w:r w:rsidRPr="00FC0F03">
        <w:rPr>
          <w:rFonts w:ascii="Arial" w:hAnsi="Arial" w:cs="Arial"/>
          <w:color w:val="000000"/>
          <w:sz w:val="20"/>
          <w:szCs w:val="20"/>
        </w:rPr>
        <w:t>União, por intermédio da ANAC</w:t>
      </w:r>
      <w:r>
        <w:rPr>
          <w:rFonts w:ascii="Arial" w:hAnsi="Arial" w:cs="Arial"/>
          <w:color w:val="000000"/>
          <w:sz w:val="20"/>
          <w:szCs w:val="20"/>
        </w:rPr>
        <w:t xml:space="preserve">, </w:t>
      </w:r>
      <w:r>
        <w:rPr>
          <w:rFonts w:ascii="Arial" w:hAnsi="Arial" w:cs="Arial"/>
          <w:color w:val="000000"/>
          <w:sz w:val="20"/>
          <w:szCs w:val="20"/>
        </w:rPr>
        <w:t xml:space="preserve">regular </w:t>
      </w:r>
      <w:r w:rsidRPr="00FC0F03">
        <w:rPr>
          <w:rFonts w:ascii="Arial" w:hAnsi="Arial" w:cs="Arial"/>
          <w:color w:val="000000"/>
          <w:sz w:val="20"/>
          <w:szCs w:val="20"/>
        </w:rPr>
        <w:t>as atividades de aviação civil e de infraestrutura aeronáutica e aeroportuária</w:t>
      </w:r>
      <w:r>
        <w:rPr>
          <w:rFonts w:ascii="Arial" w:hAnsi="Arial" w:cs="Arial"/>
          <w:color w:val="000000"/>
          <w:sz w:val="20"/>
          <w:szCs w:val="20"/>
        </w:rPr>
        <w:t>.</w:t>
      </w:r>
    </w:p>
    <w:p w:rsidR="007D4367" w:rsidRDefault="007D4367" w:rsidP="007D4367">
      <w:pPr>
        <w:ind w:firstLine="708"/>
        <w:rPr>
          <w:rFonts w:ascii="Arial" w:hAnsi="Arial" w:cs="Arial"/>
          <w:color w:val="000000"/>
          <w:sz w:val="20"/>
          <w:szCs w:val="20"/>
        </w:rPr>
      </w:pPr>
      <w:r>
        <w:rPr>
          <w:rFonts w:ascii="Arial" w:hAnsi="Arial" w:cs="Arial"/>
          <w:color w:val="000000"/>
          <w:sz w:val="20"/>
          <w:szCs w:val="20"/>
        </w:rPr>
        <w:t xml:space="preserve">E que, </w:t>
      </w:r>
      <w:r>
        <w:rPr>
          <w:rFonts w:ascii="Arial" w:hAnsi="Arial" w:cs="Arial"/>
          <w:color w:val="000000"/>
          <w:sz w:val="20"/>
          <w:szCs w:val="20"/>
        </w:rPr>
        <w:t xml:space="preserve">por força do disposto no artigo 22, inciso I, da Carta da República, também é da União a competência para legislar sobre direito do trabalho. </w:t>
      </w:r>
      <w:bookmarkStart w:id="0" w:name="_GoBack"/>
      <w:bookmarkEnd w:id="0"/>
    </w:p>
    <w:p w:rsidR="00EC5F4A" w:rsidRPr="00FC0F03" w:rsidRDefault="00EC5F4A" w:rsidP="00EC5F4A">
      <w:pPr>
        <w:jc w:val="both"/>
        <w:rPr>
          <w:rFonts w:ascii="Arial" w:hAnsi="Arial" w:cs="Arial"/>
          <w:sz w:val="20"/>
          <w:szCs w:val="20"/>
        </w:rPr>
      </w:pPr>
      <w:r w:rsidRPr="00FC0F03">
        <w:rPr>
          <w:rFonts w:ascii="Arial" w:hAnsi="Arial" w:cs="Arial"/>
          <w:sz w:val="20"/>
          <w:szCs w:val="20"/>
        </w:rPr>
        <w:tab/>
        <w:t xml:space="preserve">É o parecer, </w:t>
      </w:r>
      <w:r w:rsidRPr="00FC0F03">
        <w:rPr>
          <w:rFonts w:ascii="Arial" w:hAnsi="Arial" w:cs="Arial"/>
          <w:i/>
          <w:sz w:val="20"/>
          <w:szCs w:val="20"/>
        </w:rPr>
        <w:t>sub censura</w:t>
      </w:r>
      <w:r w:rsidRPr="00FC0F03">
        <w:rPr>
          <w:rFonts w:ascii="Arial" w:hAnsi="Arial" w:cs="Arial"/>
          <w:sz w:val="20"/>
          <w:szCs w:val="20"/>
        </w:rPr>
        <w:t>.</w:t>
      </w:r>
    </w:p>
    <w:p w:rsidR="00EC5F4A" w:rsidRPr="00FC0F03" w:rsidRDefault="00EC5F4A" w:rsidP="00EC5F4A">
      <w:pPr>
        <w:ind w:left="708"/>
        <w:jc w:val="both"/>
        <w:rPr>
          <w:rFonts w:ascii="Arial" w:hAnsi="Arial" w:cs="Arial"/>
          <w:sz w:val="20"/>
          <w:szCs w:val="20"/>
        </w:rPr>
      </w:pPr>
      <w:r w:rsidRPr="00FC0F03">
        <w:rPr>
          <w:rFonts w:ascii="Arial" w:hAnsi="Arial" w:cs="Arial"/>
          <w:sz w:val="20"/>
          <w:szCs w:val="20"/>
        </w:rPr>
        <w:t>Á Diretoria Legislativa para os devidos fins.</w:t>
      </w:r>
    </w:p>
    <w:p w:rsidR="00EC5F4A" w:rsidRDefault="00EC5F4A" w:rsidP="00EC5F4A">
      <w:pPr>
        <w:pStyle w:val="Corpodetexto"/>
        <w:ind w:firstLine="708"/>
        <w:rPr>
          <w:rFonts w:cs="Arial"/>
          <w:sz w:val="20"/>
        </w:rPr>
      </w:pPr>
      <w:r>
        <w:rPr>
          <w:rFonts w:cs="Arial"/>
          <w:sz w:val="20"/>
        </w:rPr>
        <w:t>Em 0</w:t>
      </w:r>
      <w:r w:rsidR="00943E35">
        <w:rPr>
          <w:rFonts w:cs="Arial"/>
          <w:sz w:val="20"/>
        </w:rPr>
        <w:t>7</w:t>
      </w:r>
      <w:r>
        <w:rPr>
          <w:rFonts w:cs="Arial"/>
          <w:sz w:val="20"/>
        </w:rPr>
        <w:t xml:space="preserve"> de abril de 2.016.</w:t>
      </w:r>
    </w:p>
    <w:p w:rsidR="00EC5F4A" w:rsidRDefault="00EC5F4A" w:rsidP="00EC5F4A">
      <w:pPr>
        <w:pStyle w:val="Corpodetexto"/>
        <w:ind w:firstLine="1418"/>
        <w:rPr>
          <w:rFonts w:cs="Arial"/>
          <w:sz w:val="20"/>
        </w:rPr>
      </w:pPr>
    </w:p>
    <w:p w:rsidR="00EC5F4A" w:rsidRDefault="00EC5F4A" w:rsidP="00EC5F4A">
      <w:pPr>
        <w:pStyle w:val="Corpodetexto"/>
        <w:ind w:firstLine="1418"/>
        <w:rPr>
          <w:rFonts w:cs="Arial"/>
          <w:sz w:val="20"/>
        </w:rPr>
      </w:pPr>
    </w:p>
    <w:p w:rsidR="00EC5F4A" w:rsidRDefault="00EC5F4A" w:rsidP="00EC5F4A">
      <w:pPr>
        <w:pStyle w:val="Corpodetexto"/>
        <w:ind w:firstLine="1418"/>
        <w:rPr>
          <w:rFonts w:cs="Arial"/>
          <w:sz w:val="20"/>
        </w:rPr>
      </w:pPr>
    </w:p>
    <w:p w:rsidR="00EC5F4A" w:rsidRDefault="00EC5F4A" w:rsidP="00EC5F4A">
      <w:pPr>
        <w:pStyle w:val="Corpodetexto"/>
        <w:ind w:firstLine="1418"/>
        <w:rPr>
          <w:rFonts w:cs="Arial"/>
          <w:sz w:val="20"/>
        </w:rPr>
      </w:pPr>
    </w:p>
    <w:p w:rsidR="00EC5F4A" w:rsidRDefault="00EC5F4A" w:rsidP="00EC5F4A">
      <w:pPr>
        <w:ind w:firstLine="1134"/>
        <w:rPr>
          <w:rFonts w:ascii="Arial" w:hAnsi="Arial" w:cs="Arial"/>
          <w:sz w:val="20"/>
          <w:szCs w:val="20"/>
        </w:rPr>
      </w:pPr>
      <w:r>
        <w:rPr>
          <w:rFonts w:ascii="Arial" w:hAnsi="Arial" w:cs="Arial"/>
          <w:sz w:val="20"/>
          <w:szCs w:val="20"/>
        </w:rPr>
        <w:t>Claudio Roberto Velasquez</w:t>
      </w:r>
    </w:p>
    <w:p w:rsidR="00EC5F4A" w:rsidRDefault="00EC5F4A" w:rsidP="00EC5F4A">
      <w:pPr>
        <w:ind w:firstLine="1134"/>
        <w:rPr>
          <w:rFonts w:ascii="Arial" w:hAnsi="Arial" w:cs="Arial"/>
          <w:sz w:val="16"/>
          <w:szCs w:val="16"/>
        </w:rPr>
      </w:pPr>
      <w:r>
        <w:rPr>
          <w:rFonts w:ascii="Arial" w:hAnsi="Arial" w:cs="Arial"/>
          <w:sz w:val="16"/>
          <w:szCs w:val="16"/>
        </w:rPr>
        <w:t>Procurador-Geral–OAB/RS 18.594</w:t>
      </w:r>
      <w:r>
        <w:rPr>
          <w:rFonts w:ascii="Arial" w:hAnsi="Arial" w:cs="Arial"/>
          <w:sz w:val="16"/>
          <w:szCs w:val="16"/>
        </w:rPr>
        <w:tab/>
      </w:r>
    </w:p>
    <w:p w:rsidR="00EC5F4A" w:rsidRDefault="00EC5F4A" w:rsidP="00EC5F4A">
      <w:pPr>
        <w:jc w:val="both"/>
        <w:rPr>
          <w:rFonts w:ascii="Arial" w:hAnsi="Arial"/>
          <w:sz w:val="20"/>
          <w:szCs w:val="20"/>
        </w:rPr>
      </w:pPr>
    </w:p>
    <w:p w:rsidR="00EC5F4A" w:rsidRDefault="00EC5F4A" w:rsidP="00EC5F4A">
      <w:pPr>
        <w:jc w:val="both"/>
        <w:rPr>
          <w:rFonts w:ascii="Arial" w:hAnsi="Arial" w:cs="Arial"/>
          <w:sz w:val="20"/>
          <w:szCs w:val="20"/>
        </w:rPr>
      </w:pPr>
    </w:p>
    <w:sectPr w:rsidR="00EC5F4A" w:rsidSect="00C4038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4A"/>
    <w:rsid w:val="003660B2"/>
    <w:rsid w:val="003A3A22"/>
    <w:rsid w:val="00590E38"/>
    <w:rsid w:val="00646401"/>
    <w:rsid w:val="00717DFF"/>
    <w:rsid w:val="00742261"/>
    <w:rsid w:val="007D4367"/>
    <w:rsid w:val="008B5DB8"/>
    <w:rsid w:val="00943E35"/>
    <w:rsid w:val="00A075B6"/>
    <w:rsid w:val="00A977D2"/>
    <w:rsid w:val="00AC7561"/>
    <w:rsid w:val="00BD02AC"/>
    <w:rsid w:val="00C40388"/>
    <w:rsid w:val="00C547EF"/>
    <w:rsid w:val="00C56944"/>
    <w:rsid w:val="00E714B2"/>
    <w:rsid w:val="00EC5F4A"/>
    <w:rsid w:val="00F86F3A"/>
    <w:rsid w:val="00FC0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C378F-0379-4582-A725-21012525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4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EC5F4A"/>
    <w:pPr>
      <w:tabs>
        <w:tab w:val="center" w:pos="4153"/>
        <w:tab w:val="right" w:pos="8306"/>
      </w:tabs>
    </w:pPr>
    <w:rPr>
      <w:szCs w:val="20"/>
    </w:rPr>
  </w:style>
  <w:style w:type="character" w:customStyle="1" w:styleId="CabealhoChar">
    <w:name w:val="Cabeçalho Char"/>
    <w:basedOn w:val="Fontepargpadro"/>
    <w:link w:val="Cabealho"/>
    <w:semiHidden/>
    <w:rsid w:val="00EC5F4A"/>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EC5F4A"/>
    <w:rPr>
      <w:rFonts w:ascii="Arial" w:hAnsi="Arial"/>
      <w:szCs w:val="20"/>
    </w:rPr>
  </w:style>
  <w:style w:type="character" w:customStyle="1" w:styleId="CorpodetextoChar">
    <w:name w:val="Corpo de texto Char"/>
    <w:basedOn w:val="Fontepargpadro"/>
    <w:link w:val="Corpodetexto"/>
    <w:semiHidden/>
    <w:rsid w:val="00EC5F4A"/>
    <w:rPr>
      <w:rFonts w:ascii="Arial" w:eastAsia="Times New Roman" w:hAnsi="Arial" w:cs="Times New Roman"/>
      <w:sz w:val="24"/>
      <w:szCs w:val="20"/>
      <w:lang w:eastAsia="pt-BR"/>
    </w:rPr>
  </w:style>
  <w:style w:type="paragraph" w:styleId="Corpodetexto2">
    <w:name w:val="Body Text 2"/>
    <w:basedOn w:val="Normal"/>
    <w:link w:val="Corpodetexto2Char"/>
    <w:semiHidden/>
    <w:unhideWhenUsed/>
    <w:rsid w:val="00EC5F4A"/>
    <w:pPr>
      <w:jc w:val="both"/>
    </w:pPr>
    <w:rPr>
      <w:rFonts w:ascii="Arial" w:hAnsi="Arial"/>
      <w:szCs w:val="20"/>
    </w:rPr>
  </w:style>
  <w:style w:type="character" w:customStyle="1" w:styleId="Corpodetexto2Char">
    <w:name w:val="Corpo de texto 2 Char"/>
    <w:basedOn w:val="Fontepargpadro"/>
    <w:link w:val="Corpodetexto2"/>
    <w:semiHidden/>
    <w:rsid w:val="00EC5F4A"/>
    <w:rPr>
      <w:rFonts w:ascii="Arial" w:eastAsia="Times New Roman" w:hAnsi="Arial" w:cs="Times New Roman"/>
      <w:sz w:val="24"/>
      <w:szCs w:val="20"/>
      <w:lang w:eastAsia="pt-BR"/>
    </w:rPr>
  </w:style>
  <w:style w:type="paragraph" w:styleId="NormalWeb">
    <w:name w:val="Normal (Web)"/>
    <w:basedOn w:val="Normal"/>
    <w:semiHidden/>
    <w:unhideWhenUsed/>
    <w:rsid w:val="00A977D2"/>
    <w:pPr>
      <w:spacing w:before="100" w:beforeAutospacing="1" w:after="100" w:afterAutospacing="1"/>
    </w:pPr>
  </w:style>
  <w:style w:type="character" w:customStyle="1" w:styleId="apple-converted-space">
    <w:name w:val="apple-converted-space"/>
    <w:basedOn w:val="Fontepargpadro"/>
    <w:rsid w:val="00590E38"/>
  </w:style>
  <w:style w:type="paragraph" w:styleId="Textodebalo">
    <w:name w:val="Balloon Text"/>
    <w:basedOn w:val="Normal"/>
    <w:link w:val="TextodebaloChar"/>
    <w:uiPriority w:val="99"/>
    <w:semiHidden/>
    <w:unhideWhenUsed/>
    <w:rsid w:val="00C56944"/>
    <w:rPr>
      <w:rFonts w:ascii="Segoe UI" w:hAnsi="Segoe UI" w:cs="Segoe UI"/>
      <w:sz w:val="18"/>
      <w:szCs w:val="18"/>
    </w:rPr>
  </w:style>
  <w:style w:type="character" w:customStyle="1" w:styleId="TextodebaloChar">
    <w:name w:val="Texto de balão Char"/>
    <w:basedOn w:val="Fontepargpadro"/>
    <w:link w:val="Textodebalo"/>
    <w:uiPriority w:val="99"/>
    <w:semiHidden/>
    <w:rsid w:val="00C5694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795381">
      <w:bodyDiv w:val="1"/>
      <w:marLeft w:val="0"/>
      <w:marRight w:val="0"/>
      <w:marTop w:val="0"/>
      <w:marBottom w:val="0"/>
      <w:divBdr>
        <w:top w:val="none" w:sz="0" w:space="0" w:color="auto"/>
        <w:left w:val="none" w:sz="0" w:space="0" w:color="auto"/>
        <w:bottom w:val="none" w:sz="0" w:space="0" w:color="auto"/>
        <w:right w:val="none" w:sz="0" w:space="0" w:color="auto"/>
      </w:divBdr>
    </w:div>
    <w:div w:id="1311668550">
      <w:bodyDiv w:val="1"/>
      <w:marLeft w:val="0"/>
      <w:marRight w:val="0"/>
      <w:marTop w:val="0"/>
      <w:marBottom w:val="0"/>
      <w:divBdr>
        <w:top w:val="none" w:sz="0" w:space="0" w:color="auto"/>
        <w:left w:val="none" w:sz="0" w:space="0" w:color="auto"/>
        <w:bottom w:val="none" w:sz="0" w:space="0" w:color="auto"/>
        <w:right w:val="none" w:sz="0" w:space="0" w:color="auto"/>
      </w:divBdr>
    </w:div>
    <w:div w:id="207605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371</Words>
  <Characters>2007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Cláudio Roberto Velasquez</dc:creator>
  <cp:keywords/>
  <dc:description/>
  <cp:lastModifiedBy>Cláudio Roberto Velasquez</cp:lastModifiedBy>
  <cp:revision>4</cp:revision>
  <cp:lastPrinted>2016-04-07T13:41:00Z</cp:lastPrinted>
  <dcterms:created xsi:type="dcterms:W3CDTF">2016-04-07T13:54:00Z</dcterms:created>
  <dcterms:modified xsi:type="dcterms:W3CDTF">2016-04-07T14:02:00Z</dcterms:modified>
</cp:coreProperties>
</file>