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B7" w:rsidRDefault="00BE66B7" w:rsidP="00BE66B7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E66B7" w:rsidRDefault="00BE66B7" w:rsidP="00BE66B7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E66B7" w:rsidRDefault="00BE66B7" w:rsidP="00BE66B7">
      <w:pPr>
        <w:jc w:val="center"/>
        <w:rPr>
          <w:rFonts w:ascii="Arial" w:hAnsi="Arial" w:cs="Arial"/>
          <w:b/>
          <w:sz w:val="20"/>
          <w:szCs w:val="20"/>
        </w:rPr>
      </w:pPr>
    </w:p>
    <w:p w:rsidR="00BE66B7" w:rsidRDefault="00BE66B7" w:rsidP="00BE66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113/16.</w:t>
      </w:r>
    </w:p>
    <w:p w:rsidR="00BE66B7" w:rsidRDefault="00BE66B7" w:rsidP="00BE66B7">
      <w:pPr>
        <w:ind w:left="2832"/>
        <w:rPr>
          <w:rFonts w:ascii="Arial" w:hAnsi="Arial" w:cs="Arial"/>
          <w:b/>
          <w:sz w:val="20"/>
          <w:szCs w:val="20"/>
        </w:rPr>
      </w:pPr>
    </w:p>
    <w:p w:rsidR="00BE66B7" w:rsidRDefault="00BE66B7" w:rsidP="00BE66B7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 xml:space="preserve">PROCESSO </w:t>
      </w:r>
      <w:r w:rsidR="00F3166C">
        <w:rPr>
          <w:rFonts w:cs="Arial"/>
          <w:sz w:val="20"/>
        </w:rPr>
        <w:t>Nº 4</w:t>
      </w:r>
      <w:r w:rsidR="005035C1">
        <w:rPr>
          <w:rFonts w:cs="Arial"/>
          <w:sz w:val="20"/>
        </w:rPr>
        <w:t>9</w:t>
      </w:r>
      <w:r w:rsidR="00F3166C">
        <w:rPr>
          <w:rFonts w:cs="Arial"/>
          <w:sz w:val="20"/>
        </w:rPr>
        <w:t>7</w:t>
      </w:r>
      <w:bookmarkStart w:id="0" w:name="_GoBack"/>
      <w:bookmarkEnd w:id="0"/>
      <w:r>
        <w:rPr>
          <w:rFonts w:cs="Arial"/>
          <w:sz w:val="20"/>
        </w:rPr>
        <w:t>/16.</w:t>
      </w:r>
    </w:p>
    <w:p w:rsidR="00BE66B7" w:rsidRDefault="00BE66B7" w:rsidP="00BE66B7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Nº    240/16.</w:t>
      </w:r>
    </w:p>
    <w:p w:rsidR="00BE66B7" w:rsidRDefault="00BE66B7" w:rsidP="00BE66B7">
      <w:pPr>
        <w:ind w:left="2832"/>
        <w:rPr>
          <w:rFonts w:ascii="Arial" w:hAnsi="Arial" w:cs="Arial"/>
          <w:b/>
          <w:sz w:val="20"/>
          <w:szCs w:val="20"/>
        </w:rPr>
      </w:pPr>
    </w:p>
    <w:p w:rsidR="00BE66B7" w:rsidRDefault="00BE66B7" w:rsidP="00BE66B7">
      <w:pPr>
        <w:ind w:left="2832"/>
        <w:rPr>
          <w:rFonts w:ascii="Arial" w:hAnsi="Arial" w:cs="Arial"/>
          <w:b/>
          <w:sz w:val="20"/>
          <w:szCs w:val="20"/>
        </w:rPr>
      </w:pPr>
    </w:p>
    <w:p w:rsidR="00BE66B7" w:rsidRDefault="00BE66B7" w:rsidP="00BE66B7">
      <w:pPr>
        <w:pStyle w:val="Recuodecorpodetexto"/>
        <w:rPr>
          <w:rFonts w:cs="Arial"/>
          <w:b/>
          <w:sz w:val="20"/>
        </w:rPr>
      </w:pPr>
    </w:p>
    <w:p w:rsidR="00BE66B7" w:rsidRDefault="00BE66B7" w:rsidP="00BE66B7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Executivo em epígrafe, que revoga a Lei nº 11.688, de 01 de outubro de 2014, que altera a denominação da Avenida Presidente Castelo Branco para Avenida da Legalidade e da Democracia.</w:t>
      </w:r>
    </w:p>
    <w:p w:rsidR="00BE66B7" w:rsidRDefault="00BE66B7" w:rsidP="00BE66B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BE66B7" w:rsidRDefault="00BE66B7" w:rsidP="00BE66B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E66B7" w:rsidRDefault="00BE66B7" w:rsidP="00BE66B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proposição, consoante se infere do exposto, insere–se no âmbito de competência municipal, inexistindo óbice jurídico à tramitação. </w:t>
      </w:r>
    </w:p>
    <w:p w:rsidR="00BE66B7" w:rsidRDefault="00BE66B7" w:rsidP="00BE66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BE66B7" w:rsidRDefault="00BE66B7" w:rsidP="00BE66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BE66B7" w:rsidRDefault="00BE66B7" w:rsidP="00BE66B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16 de março de 2016.</w:t>
      </w:r>
    </w:p>
    <w:p w:rsidR="00BE66B7" w:rsidRDefault="00BE66B7" w:rsidP="00BE66B7">
      <w:pPr>
        <w:jc w:val="both"/>
        <w:rPr>
          <w:rFonts w:ascii="Arial" w:hAnsi="Arial" w:cs="Arial"/>
          <w:sz w:val="20"/>
          <w:szCs w:val="20"/>
        </w:rPr>
      </w:pPr>
    </w:p>
    <w:p w:rsidR="00BE66B7" w:rsidRDefault="00BE66B7" w:rsidP="00BE66B7">
      <w:pPr>
        <w:jc w:val="both"/>
        <w:rPr>
          <w:rFonts w:ascii="Arial" w:hAnsi="Arial" w:cs="Arial"/>
          <w:sz w:val="20"/>
          <w:szCs w:val="20"/>
        </w:rPr>
      </w:pPr>
    </w:p>
    <w:p w:rsidR="00BE66B7" w:rsidRDefault="00BE66B7" w:rsidP="00BE66B7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BE66B7" w:rsidRDefault="00BE66B7" w:rsidP="00BE66B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E66B7" w:rsidRPr="00BE66B7" w:rsidRDefault="00BE66B7" w:rsidP="00BE66B7">
      <w:pPr>
        <w:ind w:firstLine="1134"/>
        <w:rPr>
          <w:rFonts w:ascii="Arial" w:hAnsi="Arial" w:cs="Arial"/>
          <w:sz w:val="20"/>
          <w:szCs w:val="20"/>
        </w:rPr>
      </w:pPr>
      <w:r w:rsidRPr="00BE66B7">
        <w:rPr>
          <w:rFonts w:ascii="Arial" w:hAnsi="Arial" w:cs="Arial"/>
          <w:sz w:val="16"/>
          <w:szCs w:val="16"/>
        </w:rPr>
        <w:t>Procurador-Geral–OAB/RS 18.594</w:t>
      </w:r>
      <w:r w:rsidRPr="00BE66B7">
        <w:rPr>
          <w:rFonts w:ascii="Arial" w:hAnsi="Arial" w:cs="Arial"/>
          <w:sz w:val="16"/>
          <w:szCs w:val="16"/>
        </w:rPr>
        <w:tab/>
      </w:r>
    </w:p>
    <w:p w:rsidR="00BE66B7" w:rsidRDefault="00BE66B7" w:rsidP="00BE66B7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E66B7" w:rsidRDefault="00BE66B7" w:rsidP="00BE66B7"/>
    <w:p w:rsidR="00BE66B7" w:rsidRDefault="00BE66B7" w:rsidP="00BE66B7"/>
    <w:p w:rsidR="00714599" w:rsidRDefault="00714599"/>
    <w:sectPr w:rsidR="00714599" w:rsidSect="005035C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7"/>
    <w:rsid w:val="005035C1"/>
    <w:rsid w:val="00714599"/>
    <w:rsid w:val="00BE66B7"/>
    <w:rsid w:val="00F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8DE2C-168D-4AD9-9B60-90A9DC4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6B7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66B7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66B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E66B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E66B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E66B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E66B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E66B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66B7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66B7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E66B7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E66B7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2016-03-16T19:42:00Z</dcterms:created>
  <dcterms:modified xsi:type="dcterms:W3CDTF">2016-03-16T20:19:00Z</dcterms:modified>
</cp:coreProperties>
</file>