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71" w:rsidRPr="00C52471" w:rsidRDefault="00C52471" w:rsidP="00C52471">
      <w:pPr>
        <w:pStyle w:val="Cabealho"/>
        <w:jc w:val="center"/>
        <w:rPr>
          <w:rFonts w:ascii="Arial" w:hAnsi="Arial"/>
          <w:b/>
          <w:sz w:val="20"/>
        </w:rPr>
      </w:pPr>
      <w:r w:rsidRPr="00C52471">
        <w:rPr>
          <w:rFonts w:ascii="Arial" w:hAnsi="Arial"/>
          <w:b/>
          <w:sz w:val="20"/>
        </w:rPr>
        <w:t>CÂMARA MUNICIPAL DE PORTO ALEGRE</w:t>
      </w:r>
    </w:p>
    <w:p w:rsidR="00C52471" w:rsidRPr="00C52471" w:rsidRDefault="00C52471" w:rsidP="00C52471">
      <w:pPr>
        <w:pStyle w:val="Cabealho"/>
        <w:jc w:val="center"/>
        <w:rPr>
          <w:rFonts w:ascii="Arial" w:hAnsi="Arial"/>
          <w:sz w:val="20"/>
        </w:rPr>
      </w:pPr>
      <w:r w:rsidRPr="00C52471">
        <w:rPr>
          <w:rFonts w:ascii="Arial" w:hAnsi="Arial"/>
          <w:b/>
          <w:sz w:val="20"/>
        </w:rPr>
        <w:t>PROCURADORIA</w:t>
      </w:r>
    </w:p>
    <w:p w:rsidR="005B6300" w:rsidRDefault="005B6300" w:rsidP="00C52471">
      <w:pPr>
        <w:pStyle w:val="Ttulo1"/>
        <w:rPr>
          <w:rFonts w:ascii="Arial" w:hAnsi="Arial"/>
          <w:sz w:val="20"/>
        </w:rPr>
      </w:pPr>
    </w:p>
    <w:p w:rsidR="005B6300" w:rsidRDefault="005B6300" w:rsidP="00C52471">
      <w:pPr>
        <w:pStyle w:val="Ttulo1"/>
        <w:rPr>
          <w:rFonts w:ascii="Arial" w:hAnsi="Arial"/>
          <w:sz w:val="20"/>
        </w:rPr>
      </w:pPr>
    </w:p>
    <w:p w:rsidR="00C52471" w:rsidRPr="00C52471" w:rsidRDefault="00C52471" w:rsidP="00C52471">
      <w:pPr>
        <w:pStyle w:val="Ttulo1"/>
        <w:rPr>
          <w:rFonts w:ascii="Arial" w:hAnsi="Arial"/>
          <w:sz w:val="20"/>
        </w:rPr>
      </w:pPr>
      <w:r w:rsidRPr="00C52471">
        <w:rPr>
          <w:rFonts w:ascii="Arial" w:hAnsi="Arial"/>
          <w:sz w:val="20"/>
        </w:rPr>
        <w:t xml:space="preserve">PARECER </w:t>
      </w:r>
      <w:r>
        <w:rPr>
          <w:rFonts w:ascii="Arial" w:hAnsi="Arial"/>
          <w:sz w:val="20"/>
        </w:rPr>
        <w:t>Nº 409/16.</w:t>
      </w:r>
    </w:p>
    <w:p w:rsidR="00C52471" w:rsidRDefault="00C52471" w:rsidP="00C52471">
      <w:pPr>
        <w:jc w:val="both"/>
        <w:rPr>
          <w:rFonts w:ascii="Arial" w:hAnsi="Arial"/>
          <w:b/>
          <w:sz w:val="20"/>
          <w:szCs w:val="20"/>
        </w:rPr>
      </w:pPr>
    </w:p>
    <w:p w:rsidR="00C52471" w:rsidRPr="00C52471" w:rsidRDefault="00C52471" w:rsidP="005B6300">
      <w:pPr>
        <w:ind w:left="5387"/>
        <w:rPr>
          <w:rFonts w:ascii="Arial" w:hAnsi="Arial"/>
          <w:b/>
          <w:sz w:val="20"/>
          <w:szCs w:val="20"/>
        </w:rPr>
      </w:pPr>
      <w:bookmarkStart w:id="0" w:name="_GoBack"/>
      <w:bookmarkEnd w:id="0"/>
      <w:r w:rsidRPr="00C52471">
        <w:rPr>
          <w:rFonts w:ascii="Arial" w:hAnsi="Arial"/>
          <w:b/>
          <w:sz w:val="20"/>
          <w:szCs w:val="20"/>
        </w:rPr>
        <w:t>PROCESSO</w:t>
      </w:r>
      <w:r>
        <w:rPr>
          <w:rFonts w:ascii="Arial" w:hAnsi="Arial"/>
          <w:b/>
          <w:sz w:val="20"/>
          <w:szCs w:val="20"/>
        </w:rPr>
        <w:t xml:space="preserve"> Nº 985</w:t>
      </w:r>
      <w:r w:rsidRPr="00C52471">
        <w:rPr>
          <w:rFonts w:ascii="Arial" w:hAnsi="Arial"/>
          <w:b/>
          <w:sz w:val="20"/>
          <w:szCs w:val="20"/>
        </w:rPr>
        <w:t>/1</w:t>
      </w:r>
      <w:r>
        <w:rPr>
          <w:rFonts w:ascii="Arial" w:hAnsi="Arial"/>
          <w:b/>
          <w:sz w:val="20"/>
          <w:szCs w:val="20"/>
        </w:rPr>
        <w:t>6</w:t>
      </w:r>
      <w:r w:rsidRPr="00C52471">
        <w:rPr>
          <w:rFonts w:ascii="Arial" w:hAnsi="Arial"/>
          <w:b/>
          <w:sz w:val="20"/>
          <w:szCs w:val="20"/>
        </w:rPr>
        <w:t>.</w:t>
      </w:r>
    </w:p>
    <w:p w:rsidR="00C52471" w:rsidRPr="00C52471" w:rsidRDefault="00C52471" w:rsidP="005B6300">
      <w:pPr>
        <w:ind w:left="5387"/>
        <w:rPr>
          <w:rFonts w:ascii="Arial" w:hAnsi="Arial"/>
          <w:b/>
          <w:sz w:val="20"/>
          <w:szCs w:val="20"/>
        </w:rPr>
      </w:pPr>
      <w:r w:rsidRPr="00C52471">
        <w:rPr>
          <w:rFonts w:ascii="Arial" w:hAnsi="Arial"/>
          <w:b/>
          <w:sz w:val="20"/>
          <w:szCs w:val="20"/>
        </w:rPr>
        <w:t xml:space="preserve">PLL Nº </w:t>
      </w:r>
      <w:r>
        <w:rPr>
          <w:rFonts w:ascii="Arial" w:hAnsi="Arial"/>
          <w:b/>
          <w:sz w:val="20"/>
          <w:szCs w:val="20"/>
        </w:rPr>
        <w:t>88</w:t>
      </w:r>
      <w:r w:rsidRPr="00C52471">
        <w:rPr>
          <w:rFonts w:ascii="Arial" w:hAnsi="Arial"/>
          <w:b/>
          <w:sz w:val="20"/>
          <w:szCs w:val="20"/>
        </w:rPr>
        <w:t>/1</w:t>
      </w:r>
      <w:r>
        <w:rPr>
          <w:rFonts w:ascii="Arial" w:hAnsi="Arial"/>
          <w:b/>
          <w:sz w:val="20"/>
          <w:szCs w:val="20"/>
        </w:rPr>
        <w:t>6</w:t>
      </w:r>
      <w:r w:rsidRPr="00C52471">
        <w:rPr>
          <w:rFonts w:ascii="Arial" w:hAnsi="Arial"/>
          <w:b/>
          <w:sz w:val="20"/>
          <w:szCs w:val="20"/>
        </w:rPr>
        <w:t>.</w:t>
      </w:r>
    </w:p>
    <w:p w:rsidR="00C52471" w:rsidRPr="00C52471" w:rsidRDefault="00C52471" w:rsidP="00C52471">
      <w:pPr>
        <w:rPr>
          <w:rFonts w:ascii="Arial" w:hAnsi="Arial"/>
          <w:sz w:val="20"/>
          <w:szCs w:val="20"/>
        </w:rPr>
      </w:pPr>
    </w:p>
    <w:p w:rsidR="00C52471" w:rsidRPr="00C52471" w:rsidRDefault="00C52471" w:rsidP="00C52471">
      <w:pPr>
        <w:rPr>
          <w:rFonts w:ascii="Arial" w:hAnsi="Arial"/>
          <w:sz w:val="20"/>
          <w:szCs w:val="20"/>
        </w:rPr>
      </w:pPr>
    </w:p>
    <w:p w:rsidR="00C52471" w:rsidRDefault="00C52471" w:rsidP="00C52471">
      <w:pPr>
        <w:jc w:val="both"/>
        <w:rPr>
          <w:rFonts w:ascii="Arial (W1)" w:hAnsi="Arial (W1)" w:cs="Arial"/>
          <w:sz w:val="20"/>
          <w:szCs w:val="20"/>
        </w:rPr>
      </w:pPr>
      <w:r>
        <w:rPr>
          <w:rFonts w:ascii="Arial" w:hAnsi="Arial"/>
          <w:b/>
          <w:sz w:val="20"/>
          <w:szCs w:val="20"/>
        </w:rPr>
        <w:tab/>
      </w:r>
      <w:r>
        <w:rPr>
          <w:rFonts w:ascii="Arial" w:hAnsi="Arial"/>
          <w:sz w:val="20"/>
          <w:szCs w:val="20"/>
        </w:rPr>
        <w:t xml:space="preserve">É submetido a exame desta Procuradoria, para parecer prévio, </w:t>
      </w:r>
      <w:r>
        <w:rPr>
          <w:rFonts w:ascii="Arial" w:hAnsi="Arial" w:cs="Arial"/>
          <w:sz w:val="20"/>
          <w:szCs w:val="20"/>
        </w:rPr>
        <w:t>o Projeto de Lei do Legislativo em ep</w:t>
      </w:r>
      <w:r>
        <w:rPr>
          <w:rFonts w:ascii="Arial (W1)" w:hAnsi="Arial (W1)" w:cs="Arial" w:hint="cs"/>
          <w:sz w:val="20"/>
          <w:szCs w:val="20"/>
        </w:rPr>
        <w:t xml:space="preserve">ígrafe </w:t>
      </w:r>
      <w:r>
        <w:rPr>
          <w:rStyle w:val="valoritem"/>
          <w:rFonts w:ascii="Arial (W1)" w:hAnsi="Arial (W1)" w:cs="Arial" w:hint="cs"/>
          <w:sz w:val="20"/>
          <w:szCs w:val="20"/>
        </w:rPr>
        <w:t xml:space="preserve">que </w:t>
      </w:r>
      <w:r>
        <w:rPr>
          <w:rStyle w:val="valoritem"/>
          <w:rFonts w:ascii="Arial (W1)" w:hAnsi="Arial (W1)" w:cs="Arial"/>
          <w:sz w:val="20"/>
          <w:szCs w:val="20"/>
        </w:rPr>
        <w:t>institui o Programa Porto Alegre Contra o Crime</w:t>
      </w:r>
      <w:r>
        <w:rPr>
          <w:rStyle w:val="valoritem"/>
          <w:rFonts w:ascii="Arial (W1)" w:hAnsi="Arial (W1)" w:cs="Arial" w:hint="cs"/>
          <w:sz w:val="20"/>
          <w:szCs w:val="20"/>
        </w:rPr>
        <w:t>.</w:t>
      </w:r>
      <w:r>
        <w:rPr>
          <w:rFonts w:ascii="Arial (W1)" w:hAnsi="Arial (W1)" w:cs="Arial" w:hint="cs"/>
          <w:sz w:val="20"/>
          <w:szCs w:val="20"/>
        </w:rPr>
        <w:t xml:space="preserve"> </w:t>
      </w:r>
    </w:p>
    <w:p w:rsidR="00C52471" w:rsidRDefault="00C52471" w:rsidP="00C52471">
      <w:pPr>
        <w:pStyle w:val="Recuodecorpodetexto2"/>
        <w:ind w:firstLine="708"/>
        <w:rPr>
          <w:rFonts w:cs="Arial" w:hint="cs"/>
          <w:sz w:val="20"/>
        </w:rPr>
      </w:pPr>
      <w:r>
        <w:rPr>
          <w:rFonts w:cs="Arial"/>
          <w:sz w:val="20"/>
        </w:rPr>
        <w:t>Na forma do que dispõe o artigo 30, da Constituição Federal, compete aos Municípios legislar sobre assuntos de interesse local.</w:t>
      </w:r>
    </w:p>
    <w:p w:rsidR="00C52471" w:rsidRDefault="00C52471" w:rsidP="00C52471">
      <w:pPr>
        <w:jc w:val="both"/>
        <w:rPr>
          <w:rFonts w:ascii="Arial" w:hAnsi="Arial" w:cs="Arial"/>
          <w:sz w:val="20"/>
          <w:szCs w:val="20"/>
        </w:rPr>
      </w:pPr>
      <w:r>
        <w:rPr>
          <w:rFonts w:ascii="Arial" w:hAnsi="Arial" w:cs="Arial"/>
          <w:sz w:val="20"/>
          <w:szCs w:val="20"/>
        </w:rPr>
        <w:tab/>
        <w:t>A Carta Estadual, no artigo 13, inciso I, por sua vez, declara a competência do Município para exercer o poder de polícia administrativa nas matérias de interesse local.</w:t>
      </w:r>
    </w:p>
    <w:p w:rsidR="00C52471" w:rsidRDefault="00C52471" w:rsidP="00C52471">
      <w:pPr>
        <w:pStyle w:val="Recuodecorpodetexto3"/>
        <w:ind w:firstLine="708"/>
        <w:rPr>
          <w:rFonts w:cs="Arial"/>
          <w:sz w:val="20"/>
        </w:rPr>
      </w:pPr>
      <w:r>
        <w:rPr>
          <w:rFonts w:cs="Arial"/>
          <w:sz w:val="20"/>
        </w:rPr>
        <w:t>A Lei Orgânica determina, também, a competência do Município para prover tudo que concerne ao interesse local, visando a promoção do bem-estar de seus habitantes, para licenciar para funcionamento os estabelecimentos comerciais, industriais, de serviços e similares, e para ordenar as atividades urbanas (arts. 8º, inciso IV, e 9º, incisos II e XII).</w:t>
      </w:r>
    </w:p>
    <w:p w:rsidR="00C52471" w:rsidRDefault="00C52471" w:rsidP="00C52471">
      <w:pPr>
        <w:pStyle w:val="Recuodecorpodetexto3"/>
        <w:ind w:firstLine="708"/>
        <w:rPr>
          <w:rFonts w:cs="Arial"/>
          <w:sz w:val="20"/>
        </w:rPr>
      </w:pPr>
      <w:r>
        <w:rPr>
          <w:rFonts w:cs="Arial"/>
          <w:sz w:val="20"/>
        </w:rPr>
        <w:t>Estatui, ainda, no art. 147 que é obrigação do Município promover, entre outros, o direito à segurança.</w:t>
      </w:r>
    </w:p>
    <w:p w:rsidR="00C52471" w:rsidRDefault="00C52471" w:rsidP="00C52471">
      <w:pPr>
        <w:pStyle w:val="Recuodecorpodetexto"/>
        <w:ind w:left="227" w:firstLine="425"/>
        <w:rPr>
          <w:rFonts w:cs="Arial"/>
          <w:sz w:val="20"/>
        </w:rPr>
      </w:pPr>
      <w:r>
        <w:rPr>
          <w:rFonts w:cs="Arial"/>
          <w:sz w:val="20"/>
        </w:rPr>
        <w:t>A matéria objeto da proposição se insere no âmbito de competência municipal, inexistindo óbice jurídico à tramitação, sob tal enfoque.</w:t>
      </w:r>
    </w:p>
    <w:p w:rsidR="00C52471" w:rsidRDefault="00C52471" w:rsidP="00C52471">
      <w:pPr>
        <w:ind w:firstLine="708"/>
        <w:jc w:val="both"/>
        <w:rPr>
          <w:rFonts w:ascii="Arial" w:hAnsi="Arial" w:cs="Arial"/>
          <w:sz w:val="20"/>
          <w:szCs w:val="20"/>
        </w:rPr>
      </w:pPr>
      <w:r>
        <w:rPr>
          <w:rFonts w:ascii="Arial" w:hAnsi="Arial" w:cs="Arial"/>
          <w:sz w:val="20"/>
          <w:szCs w:val="20"/>
        </w:rPr>
        <w:t>Ressalvo, c</w:t>
      </w:r>
      <w:r>
        <w:rPr>
          <w:rFonts w:ascii="Arial" w:hAnsi="Arial" w:cs="Arial"/>
          <w:sz w:val="20"/>
          <w:szCs w:val="20"/>
        </w:rPr>
        <w:t>ontudo</w:t>
      </w:r>
      <w:r>
        <w:rPr>
          <w:rFonts w:ascii="Arial" w:hAnsi="Arial" w:cs="Arial"/>
          <w:sz w:val="20"/>
          <w:szCs w:val="20"/>
        </w:rPr>
        <w:t>, que o conteúdo normativo do artigo 2º do projeto de lei, por implicar interferência na gestão do Município, vênia concedida, atrai violação ao disposto no artigo 94, inciso IV da Lei Orgânica, que atribui competência privativa ao Chefe do Executivo para realizar a administração municipal.</w:t>
      </w:r>
      <w:r>
        <w:rPr>
          <w:rFonts w:ascii="Arial" w:hAnsi="Arial" w:cs="Arial"/>
          <w:sz w:val="20"/>
          <w:szCs w:val="20"/>
        </w:rPr>
        <w:t xml:space="preserve"> </w:t>
      </w:r>
    </w:p>
    <w:p w:rsidR="00C52471" w:rsidRDefault="00C52471" w:rsidP="00C52471">
      <w:pPr>
        <w:pStyle w:val="Recuodecorpodetexto"/>
        <w:ind w:firstLine="0"/>
        <w:rPr>
          <w:sz w:val="20"/>
        </w:rPr>
      </w:pPr>
      <w:r>
        <w:rPr>
          <w:sz w:val="20"/>
        </w:rPr>
        <w:tab/>
        <w:t>É o parecer,</w:t>
      </w:r>
      <w:r>
        <w:rPr>
          <w:i/>
          <w:sz w:val="20"/>
        </w:rPr>
        <w:t xml:space="preserve"> sub censura</w:t>
      </w:r>
      <w:r>
        <w:rPr>
          <w:sz w:val="20"/>
        </w:rPr>
        <w:t>.</w:t>
      </w:r>
    </w:p>
    <w:p w:rsidR="00C52471" w:rsidRDefault="00C52471" w:rsidP="00C52471">
      <w:pPr>
        <w:pStyle w:val="Corpodetexto"/>
        <w:ind w:firstLine="708"/>
        <w:rPr>
          <w:i/>
          <w:sz w:val="20"/>
        </w:rPr>
      </w:pPr>
    </w:p>
    <w:p w:rsidR="00C52471" w:rsidRDefault="00C52471" w:rsidP="00C52471">
      <w:pPr>
        <w:ind w:left="708"/>
        <w:jc w:val="both"/>
        <w:rPr>
          <w:rFonts w:ascii="Arial" w:hAnsi="Arial" w:cs="Arial"/>
          <w:sz w:val="20"/>
          <w:szCs w:val="20"/>
        </w:rPr>
      </w:pPr>
      <w:r>
        <w:rPr>
          <w:rFonts w:ascii="Arial" w:hAnsi="Arial" w:cs="Arial"/>
          <w:sz w:val="20"/>
          <w:szCs w:val="20"/>
        </w:rPr>
        <w:t>Á Diretoria Legislativa para os devidos fins.</w:t>
      </w:r>
    </w:p>
    <w:p w:rsidR="00C52471" w:rsidRDefault="00C52471" w:rsidP="00C52471">
      <w:pPr>
        <w:jc w:val="both"/>
        <w:rPr>
          <w:rFonts w:ascii="Arial" w:hAnsi="Arial" w:cs="Arial"/>
          <w:sz w:val="20"/>
          <w:szCs w:val="20"/>
        </w:rPr>
      </w:pPr>
      <w:r>
        <w:rPr>
          <w:rFonts w:ascii="Arial" w:hAnsi="Arial" w:cs="Arial"/>
          <w:sz w:val="20"/>
          <w:szCs w:val="20"/>
        </w:rPr>
        <w:tab/>
        <w:t>Em</w:t>
      </w:r>
      <w:r>
        <w:rPr>
          <w:rFonts w:ascii="Arial" w:hAnsi="Arial" w:cs="Arial"/>
          <w:sz w:val="20"/>
          <w:szCs w:val="20"/>
        </w:rPr>
        <w:t xml:space="preserve"> 27</w:t>
      </w:r>
      <w:r>
        <w:rPr>
          <w:rFonts w:ascii="Arial" w:hAnsi="Arial" w:cs="Arial"/>
          <w:sz w:val="20"/>
          <w:szCs w:val="20"/>
        </w:rPr>
        <w:t xml:space="preserve"> de junho de 2013.</w:t>
      </w:r>
    </w:p>
    <w:p w:rsidR="00C52471" w:rsidRDefault="00C52471" w:rsidP="00C52471">
      <w:pPr>
        <w:rPr>
          <w:rFonts w:ascii="Arial" w:hAnsi="Arial" w:cs="Arial"/>
          <w:sz w:val="20"/>
          <w:szCs w:val="20"/>
        </w:rPr>
      </w:pPr>
    </w:p>
    <w:p w:rsidR="00C52471" w:rsidRDefault="00C52471" w:rsidP="00C52471">
      <w:pPr>
        <w:rPr>
          <w:rFonts w:ascii="Arial" w:hAnsi="Arial" w:cs="Arial"/>
          <w:sz w:val="20"/>
          <w:szCs w:val="20"/>
        </w:rPr>
      </w:pPr>
    </w:p>
    <w:p w:rsidR="00C52471" w:rsidRDefault="00C52471" w:rsidP="00C52471">
      <w:pPr>
        <w:ind w:left="708"/>
        <w:jc w:val="both"/>
        <w:rPr>
          <w:rFonts w:ascii="Arial" w:hAnsi="Arial" w:cs="Arial"/>
          <w:sz w:val="20"/>
          <w:szCs w:val="20"/>
        </w:rPr>
      </w:pPr>
    </w:p>
    <w:p w:rsidR="00C52471" w:rsidRDefault="00C52471" w:rsidP="00C52471">
      <w:pPr>
        <w:pStyle w:val="Corpodetexto"/>
        <w:ind w:firstLine="1418"/>
        <w:rPr>
          <w:i/>
          <w:sz w:val="20"/>
        </w:rPr>
      </w:pPr>
    </w:p>
    <w:p w:rsidR="00C52471" w:rsidRDefault="00C52471" w:rsidP="00C52471">
      <w:pPr>
        <w:pStyle w:val="Corpodetexto"/>
        <w:ind w:firstLine="1418"/>
        <w:rPr>
          <w:i/>
          <w:sz w:val="20"/>
        </w:rPr>
      </w:pPr>
    </w:p>
    <w:p w:rsidR="00C52471" w:rsidRDefault="00C52471" w:rsidP="00C52471">
      <w:pPr>
        <w:ind w:left="720"/>
        <w:rPr>
          <w:rFonts w:ascii="Arial" w:hAnsi="Arial" w:cs="Arial"/>
          <w:sz w:val="20"/>
          <w:szCs w:val="20"/>
        </w:rPr>
      </w:pPr>
      <w:r>
        <w:rPr>
          <w:rFonts w:ascii="Arial" w:hAnsi="Arial" w:cs="Arial"/>
          <w:sz w:val="20"/>
          <w:szCs w:val="20"/>
        </w:rPr>
        <w:t xml:space="preserve"> Claudio Roberto Velasquez</w:t>
      </w:r>
    </w:p>
    <w:p w:rsidR="00C52471" w:rsidRDefault="00C52471" w:rsidP="00C52471">
      <w:pPr>
        <w:ind w:left="720"/>
        <w:rPr>
          <w:rFonts w:ascii="Arial" w:hAnsi="Arial" w:cs="Arial"/>
          <w:sz w:val="16"/>
          <w:szCs w:val="16"/>
        </w:rPr>
      </w:pPr>
      <w:r>
        <w:rPr>
          <w:rFonts w:ascii="Arial" w:hAnsi="Arial" w:cs="Arial"/>
          <w:sz w:val="16"/>
          <w:szCs w:val="16"/>
        </w:rPr>
        <w:t xml:space="preserve"> Procurador-Geral–OAB/RS 18.594</w:t>
      </w:r>
      <w:r>
        <w:rPr>
          <w:rFonts w:ascii="Arial" w:hAnsi="Arial" w:cs="Arial"/>
          <w:sz w:val="16"/>
          <w:szCs w:val="16"/>
        </w:rPr>
        <w:tab/>
      </w:r>
    </w:p>
    <w:p w:rsidR="00C52471" w:rsidRDefault="00C52471" w:rsidP="00C52471">
      <w:pPr>
        <w:pStyle w:val="Recuodecorpodetexto"/>
        <w:ind w:left="720" w:firstLine="0"/>
        <w:rPr>
          <w:rFonts w:ascii="Arial (W1)" w:hAnsi="Arial (W1)" w:cs="Arial"/>
          <w:sz w:val="20"/>
        </w:rPr>
      </w:pPr>
    </w:p>
    <w:p w:rsidR="00C52471" w:rsidRDefault="00C52471" w:rsidP="00C52471">
      <w:pPr>
        <w:pStyle w:val="Recuodecorpodetexto"/>
        <w:rPr>
          <w:rFonts w:ascii="Arial (W1)" w:hAnsi="Arial (W1)" w:cs="Arial" w:hint="cs"/>
          <w:sz w:val="20"/>
        </w:rPr>
      </w:pPr>
    </w:p>
    <w:p w:rsidR="009E2882" w:rsidRDefault="009E2882"/>
    <w:sectPr w:rsidR="009E2882" w:rsidSect="005B63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71"/>
    <w:rsid w:val="005B6300"/>
    <w:rsid w:val="009E2882"/>
    <w:rsid w:val="00C52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E8503-70F1-4A40-9998-431AE64C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7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52471"/>
    <w:pPr>
      <w:keepNext/>
      <w:outlineLvl w:val="0"/>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2471"/>
    <w:rPr>
      <w:rFonts w:ascii="Times New Roman" w:eastAsia="Times New Roman" w:hAnsi="Times New Roman" w:cs="Times New Roman"/>
      <w:b/>
      <w:sz w:val="28"/>
      <w:szCs w:val="20"/>
      <w:lang w:eastAsia="pt-BR"/>
    </w:rPr>
  </w:style>
  <w:style w:type="paragraph" w:styleId="Cabealho">
    <w:name w:val="header"/>
    <w:basedOn w:val="Normal"/>
    <w:link w:val="CabealhoChar"/>
    <w:semiHidden/>
    <w:unhideWhenUsed/>
    <w:rsid w:val="00C52471"/>
    <w:pPr>
      <w:tabs>
        <w:tab w:val="center" w:pos="4153"/>
        <w:tab w:val="right" w:pos="8306"/>
      </w:tabs>
    </w:pPr>
    <w:rPr>
      <w:szCs w:val="20"/>
    </w:rPr>
  </w:style>
  <w:style w:type="character" w:customStyle="1" w:styleId="CabealhoChar">
    <w:name w:val="Cabeçalho Char"/>
    <w:basedOn w:val="Fontepargpadro"/>
    <w:link w:val="Cabealho"/>
    <w:semiHidden/>
    <w:rsid w:val="00C52471"/>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C52471"/>
    <w:pPr>
      <w:jc w:val="both"/>
    </w:pPr>
    <w:rPr>
      <w:rFonts w:ascii="Arial" w:hAnsi="Arial" w:cs="Arial"/>
    </w:rPr>
  </w:style>
  <w:style w:type="character" w:customStyle="1" w:styleId="CorpodetextoChar">
    <w:name w:val="Corpo de texto Char"/>
    <w:basedOn w:val="Fontepargpadro"/>
    <w:link w:val="Corpodetexto"/>
    <w:semiHidden/>
    <w:rsid w:val="00C52471"/>
    <w:rPr>
      <w:rFonts w:ascii="Arial" w:eastAsia="Times New Roman" w:hAnsi="Arial" w:cs="Arial"/>
      <w:sz w:val="24"/>
      <w:szCs w:val="24"/>
      <w:lang w:eastAsia="pt-BR"/>
    </w:rPr>
  </w:style>
  <w:style w:type="paragraph" w:styleId="Recuodecorpodetexto">
    <w:name w:val="Body Text Indent"/>
    <w:basedOn w:val="Normal"/>
    <w:link w:val="RecuodecorpodetextoChar"/>
    <w:semiHidden/>
    <w:unhideWhenUsed/>
    <w:rsid w:val="00C52471"/>
    <w:pPr>
      <w:ind w:firstLine="708"/>
      <w:jc w:val="both"/>
    </w:pPr>
    <w:rPr>
      <w:rFonts w:ascii="Arial" w:hAnsi="Arial"/>
      <w:szCs w:val="20"/>
    </w:rPr>
  </w:style>
  <w:style w:type="character" w:customStyle="1" w:styleId="RecuodecorpodetextoChar">
    <w:name w:val="Recuo de corpo de texto Char"/>
    <w:basedOn w:val="Fontepargpadro"/>
    <w:link w:val="Recuodecorpodetexto"/>
    <w:semiHidden/>
    <w:rsid w:val="00C52471"/>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unhideWhenUsed/>
    <w:rsid w:val="00C52471"/>
    <w:pPr>
      <w:ind w:firstLine="1416"/>
      <w:jc w:val="both"/>
    </w:pPr>
    <w:rPr>
      <w:rFonts w:ascii="Arial" w:hAnsi="Arial"/>
      <w:szCs w:val="20"/>
    </w:rPr>
  </w:style>
  <w:style w:type="character" w:customStyle="1" w:styleId="Recuodecorpodetexto2Char">
    <w:name w:val="Recuo de corpo de texto 2 Char"/>
    <w:basedOn w:val="Fontepargpadro"/>
    <w:link w:val="Recuodecorpodetexto2"/>
    <w:semiHidden/>
    <w:rsid w:val="00C52471"/>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unhideWhenUsed/>
    <w:rsid w:val="00C52471"/>
    <w:pPr>
      <w:ind w:firstLine="1418"/>
      <w:jc w:val="both"/>
    </w:pPr>
    <w:rPr>
      <w:rFonts w:ascii="Arial" w:hAnsi="Arial"/>
      <w:szCs w:val="20"/>
    </w:rPr>
  </w:style>
  <w:style w:type="character" w:customStyle="1" w:styleId="Recuodecorpodetexto3Char">
    <w:name w:val="Recuo de corpo de texto 3 Char"/>
    <w:basedOn w:val="Fontepargpadro"/>
    <w:link w:val="Recuodecorpodetexto3"/>
    <w:semiHidden/>
    <w:rsid w:val="00C52471"/>
    <w:rPr>
      <w:rFonts w:ascii="Arial" w:eastAsia="Times New Roman" w:hAnsi="Arial" w:cs="Times New Roman"/>
      <w:sz w:val="24"/>
      <w:szCs w:val="20"/>
      <w:lang w:eastAsia="pt-BR"/>
    </w:rPr>
  </w:style>
  <w:style w:type="character" w:customStyle="1" w:styleId="valoritem">
    <w:name w:val="valor_item"/>
    <w:basedOn w:val="Fontepargpadro"/>
    <w:rsid w:val="00C5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2</cp:revision>
  <dcterms:created xsi:type="dcterms:W3CDTF">2016-06-27T16:59:00Z</dcterms:created>
  <dcterms:modified xsi:type="dcterms:W3CDTF">2016-06-27T17:05:00Z</dcterms:modified>
</cp:coreProperties>
</file>