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174" w:rsidRDefault="000F3174" w:rsidP="000F3174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0F3174" w:rsidRDefault="000F3174" w:rsidP="000F3174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0F3174" w:rsidRDefault="000F3174" w:rsidP="000F3174">
      <w:pPr>
        <w:pStyle w:val="Ttulo1"/>
        <w:rPr>
          <w:rFonts w:ascii="Arial" w:hAnsi="Arial" w:cs="Arial"/>
          <w:sz w:val="20"/>
        </w:rPr>
      </w:pPr>
    </w:p>
    <w:p w:rsidR="000F3174" w:rsidRDefault="000F3174" w:rsidP="000F3174">
      <w:pPr>
        <w:pStyle w:val="Ttulo1"/>
        <w:rPr>
          <w:rFonts w:ascii="Arial" w:hAnsi="Arial" w:cs="Arial"/>
          <w:sz w:val="20"/>
        </w:rPr>
      </w:pPr>
    </w:p>
    <w:p w:rsidR="000F3174" w:rsidRDefault="00AD17DF" w:rsidP="000F3174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</w:t>
      </w:r>
      <w:r w:rsidR="000F3174">
        <w:rPr>
          <w:rFonts w:ascii="Arial" w:hAnsi="Arial" w:cs="Arial"/>
          <w:sz w:val="20"/>
        </w:rPr>
        <w:t xml:space="preserve"> </w:t>
      </w:r>
      <w:r w:rsidR="000F3174">
        <w:rPr>
          <w:rFonts w:ascii="Arial" w:hAnsi="Arial" w:cs="Arial"/>
          <w:sz w:val="20"/>
        </w:rPr>
        <w:t>410</w:t>
      </w:r>
      <w:r w:rsidR="000F3174">
        <w:rPr>
          <w:rFonts w:ascii="Arial" w:hAnsi="Arial" w:cs="Arial"/>
          <w:sz w:val="20"/>
        </w:rPr>
        <w:t>/1</w:t>
      </w:r>
      <w:r w:rsidR="000F3174">
        <w:rPr>
          <w:rFonts w:ascii="Arial" w:hAnsi="Arial" w:cs="Arial"/>
          <w:sz w:val="20"/>
        </w:rPr>
        <w:t>6</w:t>
      </w:r>
      <w:r w:rsidR="000F3174">
        <w:rPr>
          <w:rFonts w:ascii="Arial" w:hAnsi="Arial" w:cs="Arial"/>
          <w:sz w:val="20"/>
        </w:rPr>
        <w:t>.</w:t>
      </w:r>
    </w:p>
    <w:p w:rsidR="000F3174" w:rsidRDefault="000F3174" w:rsidP="000F317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F3174" w:rsidRDefault="000F3174" w:rsidP="000F3174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1408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</w:t>
      </w:r>
    </w:p>
    <w:p w:rsidR="000F3174" w:rsidRDefault="000F3174" w:rsidP="000F3174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PLL               </w:t>
      </w:r>
      <w:r w:rsidR="00AD17DF">
        <w:rPr>
          <w:rFonts w:ascii="Arial" w:hAnsi="Arial" w:cs="Arial"/>
          <w:b/>
          <w:sz w:val="20"/>
          <w:szCs w:val="20"/>
        </w:rPr>
        <w:t>Nº 134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</w:t>
      </w:r>
    </w:p>
    <w:p w:rsidR="000F3174" w:rsidRDefault="000F3174" w:rsidP="000F3174">
      <w:pPr>
        <w:pStyle w:val="Ttulo1"/>
        <w:jc w:val="center"/>
        <w:rPr>
          <w:rFonts w:ascii="Arial" w:hAnsi="Arial" w:cs="Arial"/>
          <w:sz w:val="20"/>
        </w:rPr>
      </w:pPr>
    </w:p>
    <w:p w:rsidR="000F3174" w:rsidRDefault="000F3174" w:rsidP="000F3174">
      <w:pPr>
        <w:ind w:firstLine="1985"/>
        <w:rPr>
          <w:rFonts w:ascii="Arial" w:hAnsi="Arial" w:cs="Arial"/>
          <w:sz w:val="20"/>
          <w:szCs w:val="20"/>
        </w:rPr>
      </w:pPr>
    </w:p>
    <w:p w:rsidR="000F3174" w:rsidRDefault="000F3174" w:rsidP="000F3174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>É submetido a exame desta Procuradoria, para parecer prévio, o Projeto de Lei do Legislativo em epígrafe, que tomba</w:t>
      </w:r>
      <w:r>
        <w:rPr>
          <w:rFonts w:cs="Arial"/>
          <w:sz w:val="20"/>
        </w:rPr>
        <w:t xml:space="preserve"> o imóvel conhecido com Armazém A7, localizado no Cais Mauá</w:t>
      </w:r>
      <w:r>
        <w:rPr>
          <w:rFonts w:cs="Arial"/>
          <w:sz w:val="20"/>
        </w:rPr>
        <w:t>.</w:t>
      </w:r>
    </w:p>
    <w:p w:rsidR="000F3174" w:rsidRDefault="000F3174" w:rsidP="000F31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dispõe a Carta Magna, compete aos Municípios legislar sobre assuntos de interesse local e promover a proteção do patrimônio histórico-cultural local, observada a legislação federal e estadual (art. 30, incisos I e IX).</w:t>
      </w:r>
    </w:p>
    <w:p w:rsidR="000F3174" w:rsidRDefault="000F3174" w:rsidP="000F31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Constituição do Estado do RGS, no artigo 13, inciso I, atribui competência ao Município para exercer o poder de polícia administrativa em matérias de interesse local.</w:t>
      </w:r>
    </w:p>
    <w:p w:rsidR="000F3174" w:rsidRDefault="000F3174" w:rsidP="000F3174">
      <w:pPr>
        <w:pStyle w:val="Recuodecorpodetexto2"/>
        <w:ind w:firstLine="708"/>
        <w:rPr>
          <w:rFonts w:cs="Arial"/>
          <w:sz w:val="20"/>
        </w:rPr>
      </w:pPr>
      <w:r>
        <w:rPr>
          <w:rFonts w:cs="Arial"/>
          <w:sz w:val="20"/>
        </w:rPr>
        <w:t>A Lei Orgânica do Município de Porto Alegre declara a competência deste para prover tudo quanto concerne ao interesse local, para estabelecer suas leis e atos relativos aos assuntos de interesse local e para preservar os bens locais de valor histórico, cultural ou científico (artigo 9º, incisos II, III e X).</w:t>
      </w:r>
    </w:p>
    <w:p w:rsidR="000F3174" w:rsidRDefault="000F3174" w:rsidP="000F31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 tombamento de bens é regulado pelo Decreto 25/1937, que estatui:</w:t>
      </w:r>
    </w:p>
    <w:p w:rsidR="000F3174" w:rsidRDefault="000F3174" w:rsidP="000F3174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16"/>
          <w:szCs w:val="16"/>
        </w:rPr>
      </w:pPr>
    </w:p>
    <w:p w:rsidR="000F3174" w:rsidRDefault="000F3174" w:rsidP="000F3174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“Art. 1º - Constitui o patrimônio histórico e artístico nacional o conjunto dos bens móveis e imóveis existentes no país e cuja conservação seja de interesse público, quer por sua vinculação a fatos memoráveis da história do Brasil, quer por seu excepcional valor arqueológico ou etnográfico, bibliográfico ou artístico.</w:t>
      </w:r>
    </w:p>
    <w:p w:rsidR="000F3174" w:rsidRDefault="000F3174" w:rsidP="000F3174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§ 1º - Os bens a que se refere o presente artigo só serão considerados parte integrante do patrimônio histórico e artístico brasileiro, depois de inscritos separada ou agrupadamente num dos quatro livros do Tombo, de que trata o art. 4º desta lei.</w:t>
      </w:r>
    </w:p>
    <w:p w:rsidR="000F3174" w:rsidRDefault="000F3174" w:rsidP="000F3174">
      <w:pPr>
        <w:jc w:val="both"/>
        <w:rPr>
          <w:rFonts w:ascii="Arial" w:hAnsi="Arial" w:cs="Arial"/>
          <w:sz w:val="20"/>
          <w:szCs w:val="20"/>
        </w:rPr>
      </w:pPr>
    </w:p>
    <w:p w:rsidR="000F3174" w:rsidRDefault="000F3174" w:rsidP="000F31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  <w:t>C</w:t>
      </w:r>
      <w:r>
        <w:rPr>
          <w:rFonts w:ascii="Arial" w:hAnsi="Arial" w:cs="Arial"/>
          <w:sz w:val="20"/>
          <w:szCs w:val="20"/>
        </w:rPr>
        <w:t xml:space="preserve">onsoante o conceitua a doutrina, é forma de o Poder Público condicionar a propriedade para que ela atenda à função social - a utilização da propriedade pelo titular do direito fica sujeita a restrições direcionadas ao interesse público, de promoção e proteção do patrimônio cultural brasileiro, nos termos do artigo 216, da Constituição Federal. </w:t>
      </w:r>
    </w:p>
    <w:p w:rsidR="000F3174" w:rsidRDefault="000F3174" w:rsidP="000F31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Consiste em um ato administrativo pelo qual o Poder Público declara o valor cultural de um bem, inscrevendo-o no respectivo Livro do Tombo e sujeitando-o a regime especial que impõe limitações ao exercício de propriedade com a finalidade de preservá-las. </w:t>
      </w:r>
    </w:p>
    <w:p w:rsidR="000F3174" w:rsidRDefault="000F3174" w:rsidP="000F31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No Município de Porto Alegre, a matéria é regulada pela </w:t>
      </w:r>
      <w:r>
        <w:rPr>
          <w:rFonts w:ascii="Arial" w:hAnsi="Arial"/>
          <w:sz w:val="20"/>
          <w:szCs w:val="20"/>
        </w:rPr>
        <w:t>Lei Complementar nº 275/92, que especifica definições e condições para o tombamento.</w:t>
      </w:r>
    </w:p>
    <w:p w:rsidR="000F3174" w:rsidRDefault="000F3174" w:rsidP="000F31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Conforme se infere do exposto, a matéria objeto da proposição se insere no âmbito de competência municipal, inexistindo óbice jurídico à tramitação.</w:t>
      </w:r>
    </w:p>
    <w:p w:rsidR="000F3174" w:rsidRDefault="000F3174" w:rsidP="000F31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0F3174" w:rsidRDefault="000F3174" w:rsidP="000F31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F3174" w:rsidRDefault="000F3174" w:rsidP="000F31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Á Diretoria Legislativa, para processamento na forma regimental.</w:t>
      </w:r>
    </w:p>
    <w:p w:rsidR="000F3174" w:rsidRDefault="000F3174" w:rsidP="000F3174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2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junho</w:t>
      </w:r>
      <w:r>
        <w:rPr>
          <w:rFonts w:ascii="Arial" w:hAnsi="Arial" w:cs="Arial"/>
          <w:sz w:val="20"/>
          <w:szCs w:val="20"/>
        </w:rPr>
        <w:t xml:space="preserve"> de 2.01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</w:p>
    <w:p w:rsidR="000F3174" w:rsidRDefault="000F3174" w:rsidP="000F3174">
      <w:pPr>
        <w:rPr>
          <w:rFonts w:ascii="Arial" w:hAnsi="Arial" w:cs="Arial"/>
        </w:rPr>
      </w:pPr>
    </w:p>
    <w:p w:rsidR="000F3174" w:rsidRDefault="000F3174" w:rsidP="000F31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F3174" w:rsidRDefault="000F3174" w:rsidP="000F3174">
      <w:pPr>
        <w:jc w:val="both"/>
        <w:rPr>
          <w:rFonts w:ascii="Arial" w:hAnsi="Arial" w:cs="Arial"/>
        </w:rPr>
      </w:pPr>
    </w:p>
    <w:p w:rsidR="000F3174" w:rsidRDefault="000F3174" w:rsidP="000F31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Claudio Roberto Velasquez</w:t>
      </w:r>
    </w:p>
    <w:p w:rsidR="000F3174" w:rsidRDefault="000F3174" w:rsidP="000F3174">
      <w:pPr>
        <w:jc w:val="both"/>
      </w:pPr>
      <w:r>
        <w:rPr>
          <w:rFonts w:ascii="Arial" w:hAnsi="Arial" w:cs="Arial"/>
          <w:sz w:val="16"/>
          <w:szCs w:val="16"/>
        </w:rPr>
        <w:tab/>
        <w:t>Procurador-Geral-OAB/RS 18.594</w:t>
      </w:r>
    </w:p>
    <w:p w:rsidR="000F3174" w:rsidRDefault="000F3174" w:rsidP="000F3174"/>
    <w:p w:rsidR="000F3174" w:rsidRDefault="000F3174" w:rsidP="000F3174"/>
    <w:p w:rsidR="000F3174" w:rsidRDefault="000F3174" w:rsidP="000F3174"/>
    <w:p w:rsidR="00A10E24" w:rsidRDefault="00A10E24"/>
    <w:sectPr w:rsidR="00A10E24" w:rsidSect="00AD17D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74"/>
    <w:rsid w:val="000F3174"/>
    <w:rsid w:val="00A10E24"/>
    <w:rsid w:val="00AD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A9B27-88EF-4948-9710-85943DD1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F3174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317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semiHidden/>
    <w:unhideWhenUsed/>
    <w:rsid w:val="000F3174"/>
    <w:pPr>
      <w:spacing w:before="100" w:beforeAutospacing="1" w:after="100" w:afterAutospacing="1"/>
      <w:ind w:left="254"/>
    </w:pPr>
  </w:style>
  <w:style w:type="paragraph" w:styleId="Cabealho">
    <w:name w:val="header"/>
    <w:basedOn w:val="Normal"/>
    <w:link w:val="CabealhoChar"/>
    <w:semiHidden/>
    <w:unhideWhenUsed/>
    <w:rsid w:val="000F3174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F31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F3174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F317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F3174"/>
    <w:pPr>
      <w:ind w:firstLine="1134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F3174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2016-06-27T18:28:00Z</dcterms:created>
  <dcterms:modified xsi:type="dcterms:W3CDTF">2016-06-27T18:32:00Z</dcterms:modified>
</cp:coreProperties>
</file>