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0C" w:rsidRPr="00FC0E0C" w:rsidRDefault="00FC0E0C" w:rsidP="00FC0E0C">
      <w:pPr>
        <w:jc w:val="center"/>
        <w:rPr>
          <w:rFonts w:ascii="Arial" w:hAnsi="Arial" w:cs="Arial"/>
          <w:b/>
          <w:sz w:val="20"/>
          <w:szCs w:val="20"/>
        </w:rPr>
      </w:pPr>
      <w:r w:rsidRPr="00FC0E0C">
        <w:rPr>
          <w:rFonts w:ascii="Arial" w:hAnsi="Arial" w:cs="Arial"/>
          <w:b/>
          <w:sz w:val="20"/>
          <w:szCs w:val="20"/>
        </w:rPr>
        <w:t>CÂMARA MUNICIPAL DE PORTO ALEGRE</w:t>
      </w:r>
    </w:p>
    <w:p w:rsidR="00FC0E0C" w:rsidRPr="00FC0E0C" w:rsidRDefault="00FC0E0C" w:rsidP="00FC0E0C">
      <w:pPr>
        <w:jc w:val="center"/>
        <w:rPr>
          <w:rFonts w:ascii="Arial" w:hAnsi="Arial" w:cs="Arial"/>
          <w:b/>
          <w:sz w:val="20"/>
          <w:szCs w:val="20"/>
        </w:rPr>
      </w:pPr>
      <w:r w:rsidRPr="00FC0E0C">
        <w:rPr>
          <w:rFonts w:ascii="Arial" w:hAnsi="Arial" w:cs="Arial"/>
          <w:b/>
          <w:sz w:val="20"/>
          <w:szCs w:val="20"/>
        </w:rPr>
        <w:t>PROCURADORIA</w:t>
      </w:r>
    </w:p>
    <w:p w:rsidR="00FC0E0C" w:rsidRPr="00FC0E0C" w:rsidRDefault="00FC0E0C" w:rsidP="00FC0E0C">
      <w:pPr>
        <w:pStyle w:val="Ttulo1"/>
        <w:ind w:left="0"/>
        <w:rPr>
          <w:sz w:val="20"/>
          <w:szCs w:val="20"/>
        </w:rPr>
      </w:pPr>
    </w:p>
    <w:p w:rsidR="00FC0E0C" w:rsidRPr="00FC0E0C" w:rsidRDefault="00FC0E0C" w:rsidP="00FC0E0C">
      <w:pPr>
        <w:pStyle w:val="Ttulo1"/>
        <w:ind w:left="0"/>
        <w:rPr>
          <w:sz w:val="20"/>
          <w:szCs w:val="20"/>
        </w:rPr>
      </w:pPr>
    </w:p>
    <w:p w:rsidR="00FC0E0C" w:rsidRPr="00FC0E0C" w:rsidRDefault="00FC0E0C" w:rsidP="00FC0E0C">
      <w:pPr>
        <w:pStyle w:val="Ttulo1"/>
        <w:ind w:left="0"/>
        <w:rPr>
          <w:sz w:val="20"/>
          <w:szCs w:val="20"/>
        </w:rPr>
      </w:pPr>
      <w:r w:rsidRPr="00FC0E0C">
        <w:rPr>
          <w:sz w:val="20"/>
          <w:szCs w:val="20"/>
        </w:rPr>
        <w:t xml:space="preserve">PARECER Nº </w:t>
      </w:r>
      <w:r>
        <w:rPr>
          <w:sz w:val="20"/>
          <w:szCs w:val="20"/>
        </w:rPr>
        <w:t>468</w:t>
      </w:r>
      <w:r w:rsidRPr="00FC0E0C">
        <w:rPr>
          <w:sz w:val="20"/>
          <w:szCs w:val="20"/>
        </w:rPr>
        <w:t>/1</w:t>
      </w:r>
      <w:r>
        <w:rPr>
          <w:sz w:val="20"/>
          <w:szCs w:val="20"/>
        </w:rPr>
        <w:t>6</w:t>
      </w:r>
      <w:r w:rsidRPr="00FC0E0C">
        <w:rPr>
          <w:sz w:val="20"/>
          <w:szCs w:val="20"/>
        </w:rPr>
        <w:t>.</w:t>
      </w:r>
    </w:p>
    <w:p w:rsidR="00FC0E0C" w:rsidRPr="00FC0E0C" w:rsidRDefault="00FC0E0C" w:rsidP="00FC0E0C">
      <w:pPr>
        <w:pStyle w:val="Cabealho"/>
        <w:rPr>
          <w:rFonts w:ascii="Arial" w:hAnsi="Arial" w:cs="Arial"/>
          <w:b/>
          <w:sz w:val="20"/>
        </w:rPr>
      </w:pPr>
    </w:p>
    <w:p w:rsidR="00FC0E0C" w:rsidRPr="00FC0E0C" w:rsidRDefault="00A2307F" w:rsidP="00A2307F">
      <w:pPr>
        <w:ind w:left="48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FC0E0C">
        <w:rPr>
          <w:rFonts w:ascii="Arial" w:hAnsi="Arial" w:cs="Arial"/>
          <w:b/>
          <w:sz w:val="20"/>
          <w:szCs w:val="20"/>
        </w:rPr>
        <w:t>PROCESSO Nº</w:t>
      </w:r>
      <w:r w:rsidR="00FC0E0C" w:rsidRPr="00FC0E0C">
        <w:rPr>
          <w:rFonts w:ascii="Arial" w:hAnsi="Arial" w:cs="Arial"/>
          <w:b/>
          <w:sz w:val="20"/>
          <w:szCs w:val="20"/>
        </w:rPr>
        <w:t xml:space="preserve"> 1</w:t>
      </w:r>
      <w:r w:rsidR="00FC0E0C">
        <w:rPr>
          <w:rFonts w:ascii="Arial" w:hAnsi="Arial" w:cs="Arial"/>
          <w:b/>
          <w:sz w:val="20"/>
          <w:szCs w:val="20"/>
        </w:rPr>
        <w:t>433</w:t>
      </w:r>
      <w:r w:rsidR="00FC0E0C" w:rsidRPr="00FC0E0C">
        <w:rPr>
          <w:rFonts w:ascii="Arial" w:hAnsi="Arial" w:cs="Arial"/>
          <w:b/>
          <w:sz w:val="20"/>
          <w:szCs w:val="20"/>
        </w:rPr>
        <w:t>/1</w:t>
      </w:r>
      <w:r w:rsidR="00FC0E0C">
        <w:rPr>
          <w:rFonts w:ascii="Arial" w:hAnsi="Arial" w:cs="Arial"/>
          <w:b/>
          <w:sz w:val="20"/>
          <w:szCs w:val="20"/>
        </w:rPr>
        <w:t>6</w:t>
      </w:r>
      <w:r w:rsidR="00FC0E0C" w:rsidRPr="00FC0E0C">
        <w:rPr>
          <w:rFonts w:ascii="Arial" w:hAnsi="Arial" w:cs="Arial"/>
          <w:b/>
          <w:sz w:val="20"/>
          <w:szCs w:val="20"/>
        </w:rPr>
        <w:t>.</w:t>
      </w:r>
    </w:p>
    <w:p w:rsidR="00FC0E0C" w:rsidRPr="00FC0E0C" w:rsidRDefault="00FC0E0C" w:rsidP="00A2307F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C0E0C">
        <w:rPr>
          <w:rFonts w:ascii="Arial" w:hAnsi="Arial" w:cs="Arial"/>
          <w:b/>
          <w:sz w:val="20"/>
          <w:szCs w:val="20"/>
        </w:rPr>
        <w:t>PLL                Nº   1</w:t>
      </w:r>
      <w:r>
        <w:rPr>
          <w:rFonts w:ascii="Arial" w:hAnsi="Arial" w:cs="Arial"/>
          <w:b/>
          <w:sz w:val="20"/>
          <w:szCs w:val="20"/>
        </w:rPr>
        <w:t>36</w:t>
      </w:r>
      <w:r w:rsidRPr="00FC0E0C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FC0E0C">
        <w:rPr>
          <w:rFonts w:ascii="Arial" w:hAnsi="Arial" w:cs="Arial"/>
          <w:b/>
          <w:sz w:val="20"/>
          <w:szCs w:val="20"/>
        </w:rPr>
        <w:t>.</w:t>
      </w:r>
    </w:p>
    <w:bookmarkEnd w:id="0"/>
    <w:p w:rsidR="00FC0E0C" w:rsidRDefault="00FC0E0C" w:rsidP="00FC0E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</w:p>
    <w:p w:rsidR="00FC0E0C" w:rsidRDefault="00FC0E0C" w:rsidP="00FC0E0C">
      <w:pPr>
        <w:pStyle w:val="Recuodecorpodetexto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obriga a manutenção de equipe profissional composta de bombeiros civis nos estabelecimentos que especifica.</w:t>
      </w:r>
    </w:p>
    <w:p w:rsidR="00FC0E0C" w:rsidRDefault="00FC0E0C" w:rsidP="00FC0E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dispõe a Constituição da República (artigo 30), é de competência do Município legislar sobre matéria de interesse local.</w:t>
      </w:r>
    </w:p>
    <w:p w:rsidR="00FC0E0C" w:rsidRDefault="00FC0E0C" w:rsidP="00FC0E0C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</w:rPr>
        <w:tab/>
      </w:r>
      <w:r>
        <w:rPr>
          <w:rFonts w:ascii="Arial" w:hAnsi="Arial" w:cs="Arial"/>
          <w:sz w:val="20"/>
          <w:szCs w:val="20"/>
        </w:rPr>
        <w:t>Compete-lhe, também, na forma prevista no artigo 13, inciso I, da Constituição Estadual, exercer poder de polícia administrativa nas matérias de interesse local.</w:t>
      </w:r>
    </w:p>
    <w:p w:rsidR="00FC0E0C" w:rsidRDefault="00FC0E0C" w:rsidP="00FC0E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determina, também, a competência do Município para prover tudo quanto concerne ao interesse local, para ordenar as atividades urbanas, para regulamentar e fiscalizar a utilização dos logradouros públicos, e para licenciar para funcionamento os estabelecimentos comerciais, industriais, de serviço e similares (art. 8º, inciso IV e XIV, art. 9º, inciso II e XII).</w:t>
      </w:r>
    </w:p>
    <w:p w:rsidR="00FC0E0C" w:rsidRDefault="00FC0E0C" w:rsidP="00FC0E0C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>Estatui, ainda, no art. 147 que é obrigação do Município promover, entre outros, o direito à segurança.</w:t>
      </w:r>
    </w:p>
    <w:p w:rsidR="00FC0E0C" w:rsidRDefault="00FC0E0C" w:rsidP="00FC0E0C">
      <w:pPr>
        <w:pStyle w:val="Recuodecorpodetexto3"/>
        <w:ind w:firstLine="708"/>
      </w:pPr>
      <w:r>
        <w:rPr>
          <w:rFonts w:cs="Arial"/>
          <w:sz w:val="20"/>
        </w:rPr>
        <w:t>O conteúdo normativo da proposição, destinado a regular a realização de atividade urbana, s.m.j., caracteriza exercício de poder de polícia.</w:t>
      </w:r>
    </w:p>
    <w:p w:rsidR="00FC0E0C" w:rsidRDefault="00FC0E0C" w:rsidP="00FC0E0C">
      <w:pPr>
        <w:pStyle w:val="Recuodecorpodetexto3"/>
        <w:ind w:firstLine="708"/>
        <w:rPr>
          <w:sz w:val="20"/>
        </w:rPr>
      </w:pPr>
      <w:r>
        <w:rPr>
          <w:sz w:val="20"/>
        </w:rPr>
        <w:t>Hely Lopes Meirelles (Direito Municipal Brasileiro, Malheiros Editores, 11ª ed., pág. 393, 426/427), a respeito ensina, verbis</w:t>
      </w:r>
    </w:p>
    <w:p w:rsidR="00FC0E0C" w:rsidRDefault="00FC0E0C" w:rsidP="00FC0E0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FC0E0C" w:rsidRDefault="00FC0E0C" w:rsidP="00FC0E0C">
      <w:pPr>
        <w:ind w:left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“Poder de polícia é a faculdade de que dispõe a Administração Pública para condicionar e restringir o uso e gozo de bens, atividades e direitos individuais, em benefício da coletividade ou do próprio Estado.</w:t>
      </w:r>
    </w:p>
    <w:p w:rsidR="00FC0E0C" w:rsidRDefault="00FC0E0C" w:rsidP="00FC0E0C">
      <w:pPr>
        <w:ind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...</w:t>
      </w:r>
    </w:p>
    <w:p w:rsidR="00FC0E0C" w:rsidRDefault="00FC0E0C" w:rsidP="00FC0E0C">
      <w:pPr>
        <w:ind w:left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Além dos vários setores específicos que indicamos precedentemente, compete ao Município a polícia administrativa das atividades urbanas em geral, para a ordenação a vida da cidade. Esse policiamento se estende a todas as atividades e estabelecimentos urbanos, desde a sua localização até a instalação e funcionamento, não para o controle do exercício profissional e do rendimento econômico, alheio à alçada municipal, mas para a verificação da segurança e da higiene do recinto, bem como da própria localização do empreendimento (escritório, consultório, banco, casa comercial, indústria, etc.) em relação aos usos permitidos nas normas de zoneamento da cidade.</w:t>
      </w:r>
    </w:p>
    <w:p w:rsidR="00FC0E0C" w:rsidRDefault="00FC0E0C" w:rsidP="00FC0E0C">
      <w:pPr>
        <w:ind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...</w:t>
      </w:r>
    </w:p>
    <w:p w:rsidR="00FC0E0C" w:rsidRDefault="00FC0E0C" w:rsidP="00FC0E0C">
      <w:pPr>
        <w:ind w:left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Nessa regulamentação se inclui a fixação de horário do comércio em geral e das diversificações para certas atividades ou estabelecimentos, bem como o modo de apresentação das mercadorias, utilidades e serviços oferecidos ao público. Tal poder é inerente ao Município para a ordenação da vida urbana, nas suas exigências de segurança, higiene, sossego e </w:t>
      </w:r>
      <w:r w:rsidR="00A2307F">
        <w:rPr>
          <w:rFonts w:ascii="Arial" w:hAnsi="Arial"/>
          <w:sz w:val="16"/>
          <w:szCs w:val="16"/>
        </w:rPr>
        <w:t>bem-estar</w:t>
      </w:r>
      <w:r>
        <w:rPr>
          <w:rFonts w:ascii="Arial" w:hAnsi="Arial"/>
          <w:sz w:val="16"/>
          <w:szCs w:val="16"/>
        </w:rPr>
        <w:t xml:space="preserve"> da coletividade”</w:t>
      </w:r>
    </w:p>
    <w:p w:rsidR="00FC0E0C" w:rsidRDefault="00FC0E0C" w:rsidP="00FC0E0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C0E0C" w:rsidRPr="00FC0E0C" w:rsidRDefault="00FC0E0C" w:rsidP="00FC0E0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matéria objeto da proposição insere-se âmbito de competência municipal, inexistindo </w:t>
      </w:r>
      <w:r w:rsidRPr="00FC0E0C">
        <w:rPr>
          <w:rFonts w:ascii="Arial" w:hAnsi="Arial" w:cs="Arial"/>
          <w:sz w:val="20"/>
          <w:szCs w:val="20"/>
        </w:rPr>
        <w:t>óbice jurídico à tramitação, sob tal enfoque.</w:t>
      </w:r>
    </w:p>
    <w:p w:rsidR="00FC0E0C" w:rsidRPr="00FC0E0C" w:rsidRDefault="00FC0E0C" w:rsidP="00FC0E0C">
      <w:pPr>
        <w:jc w:val="both"/>
        <w:rPr>
          <w:rFonts w:ascii="Arial" w:hAnsi="Arial" w:cs="Arial"/>
          <w:sz w:val="20"/>
          <w:szCs w:val="20"/>
        </w:rPr>
      </w:pPr>
      <w:r w:rsidRPr="00FC0E0C">
        <w:rPr>
          <w:rFonts w:ascii="Arial" w:hAnsi="Arial" w:cs="Arial"/>
          <w:sz w:val="20"/>
          <w:szCs w:val="20"/>
        </w:rPr>
        <w:tab/>
      </w:r>
      <w:r w:rsidRPr="00C639AA">
        <w:rPr>
          <w:rFonts w:ascii="Arial" w:hAnsi="Arial" w:cs="Arial"/>
          <w:sz w:val="20"/>
          <w:szCs w:val="20"/>
        </w:rPr>
        <w:t>Ressalvo, contudo: a) o conteúdo normativo do § 2º do artigo 1º da proposição</w:t>
      </w:r>
      <w:r w:rsidR="00C639AA" w:rsidRPr="00C639AA">
        <w:rPr>
          <w:rFonts w:ascii="Arial" w:hAnsi="Arial" w:cs="Arial"/>
          <w:sz w:val="20"/>
          <w:szCs w:val="20"/>
        </w:rPr>
        <w:t>, com a devida vênia,</w:t>
      </w:r>
      <w:r w:rsidRPr="00C639AA">
        <w:rPr>
          <w:rFonts w:ascii="Arial" w:hAnsi="Arial" w:cs="Arial"/>
          <w:sz w:val="20"/>
          <w:szCs w:val="20"/>
        </w:rPr>
        <w:t xml:space="preserve"> consubstancia interferência na liberdade de empresa e</w:t>
      </w:r>
      <w:r w:rsidR="00C639AA" w:rsidRPr="00C639AA">
        <w:rPr>
          <w:rFonts w:ascii="Arial" w:hAnsi="Arial" w:cs="Arial"/>
          <w:sz w:val="20"/>
          <w:szCs w:val="20"/>
        </w:rPr>
        <w:t xml:space="preserve"> </w:t>
      </w:r>
      <w:r w:rsidR="00C639AA" w:rsidRPr="00C639AA">
        <w:rPr>
          <w:rFonts w:ascii="Arial" w:hAnsi="Arial" w:cs="Arial"/>
          <w:sz w:val="20"/>
          <w:szCs w:val="20"/>
        </w:rPr>
        <w:t>estabelecimento de d</w:t>
      </w:r>
      <w:r w:rsidR="00C639AA" w:rsidRPr="00C639AA">
        <w:rPr>
          <w:rFonts w:ascii="Arial" w:hAnsi="Arial" w:cs="Arial"/>
          <w:sz w:val="20"/>
          <w:szCs w:val="20"/>
        </w:rPr>
        <w:t>iscriminação em razão de gênero</w:t>
      </w:r>
      <w:r w:rsidRPr="00C639AA">
        <w:rPr>
          <w:rFonts w:ascii="Arial" w:hAnsi="Arial" w:cs="Arial"/>
          <w:sz w:val="20"/>
          <w:szCs w:val="20"/>
        </w:rPr>
        <w:t>,</w:t>
      </w:r>
      <w:r w:rsidR="00C639AA" w:rsidRPr="00C639AA">
        <w:rPr>
          <w:rFonts w:ascii="Arial" w:hAnsi="Arial" w:cs="Arial"/>
          <w:sz w:val="20"/>
          <w:szCs w:val="20"/>
        </w:rPr>
        <w:t xml:space="preserve"> incidindo </w:t>
      </w:r>
      <w:r w:rsidRPr="00C639AA">
        <w:rPr>
          <w:rFonts w:ascii="Arial" w:hAnsi="Arial" w:cs="Arial"/>
          <w:sz w:val="20"/>
          <w:szCs w:val="20"/>
        </w:rPr>
        <w:t>em  violação aos preceitos constitucionais que</w:t>
      </w:r>
      <w:r w:rsidR="00C639AA">
        <w:rPr>
          <w:rFonts w:ascii="Arial" w:hAnsi="Arial" w:cs="Arial"/>
          <w:sz w:val="20"/>
          <w:szCs w:val="20"/>
        </w:rPr>
        <w:t xml:space="preserve"> resguardam </w:t>
      </w:r>
      <w:r w:rsidRPr="00C639AA">
        <w:rPr>
          <w:rFonts w:ascii="Arial" w:hAnsi="Arial" w:cs="Arial"/>
          <w:sz w:val="20"/>
          <w:szCs w:val="20"/>
        </w:rPr>
        <w:t>o livre exercício da atividade econômica</w:t>
      </w:r>
      <w:r w:rsidR="00C639AA">
        <w:rPr>
          <w:rFonts w:ascii="Arial" w:hAnsi="Arial" w:cs="Arial"/>
          <w:sz w:val="20"/>
          <w:szCs w:val="20"/>
        </w:rPr>
        <w:t xml:space="preserve"> (</w:t>
      </w:r>
      <w:r w:rsidR="00C639AA" w:rsidRPr="00C639AA">
        <w:rPr>
          <w:rFonts w:ascii="Arial" w:hAnsi="Arial" w:cs="Arial"/>
          <w:sz w:val="20"/>
          <w:szCs w:val="20"/>
        </w:rPr>
        <w:t xml:space="preserve">artigo 170, </w:t>
      </w:r>
      <w:r w:rsidR="00C639AA" w:rsidRPr="00C639AA">
        <w:rPr>
          <w:rFonts w:ascii="Arial" w:hAnsi="Arial" w:cs="Arial"/>
          <w:i/>
          <w:sz w:val="20"/>
          <w:szCs w:val="20"/>
        </w:rPr>
        <w:t xml:space="preserve">caput </w:t>
      </w:r>
      <w:r w:rsidR="00C639AA" w:rsidRPr="00C639AA">
        <w:rPr>
          <w:rFonts w:ascii="Arial" w:hAnsi="Arial" w:cs="Arial"/>
          <w:sz w:val="20"/>
          <w:szCs w:val="20"/>
        </w:rPr>
        <w:t>e § único; artigo 174</w:t>
      </w:r>
      <w:r w:rsidR="00C639AA">
        <w:rPr>
          <w:rFonts w:ascii="Arial" w:hAnsi="Arial" w:cs="Arial"/>
          <w:sz w:val="20"/>
          <w:szCs w:val="20"/>
        </w:rPr>
        <w:t>)</w:t>
      </w:r>
      <w:r w:rsidR="00C639AA" w:rsidRPr="00C639AA">
        <w:rPr>
          <w:rFonts w:ascii="Arial" w:hAnsi="Arial" w:cs="Arial"/>
          <w:sz w:val="20"/>
          <w:szCs w:val="20"/>
        </w:rPr>
        <w:t xml:space="preserve">  e</w:t>
      </w:r>
      <w:r w:rsidR="00C639AA">
        <w:rPr>
          <w:rFonts w:ascii="Arial" w:hAnsi="Arial" w:cs="Arial"/>
          <w:sz w:val="20"/>
          <w:szCs w:val="20"/>
        </w:rPr>
        <w:t xml:space="preserve"> </w:t>
      </w:r>
      <w:r w:rsidR="00C639AA" w:rsidRPr="00C639AA">
        <w:rPr>
          <w:rFonts w:ascii="Arial" w:hAnsi="Arial" w:cs="Arial"/>
          <w:sz w:val="20"/>
          <w:szCs w:val="20"/>
        </w:rPr>
        <w:t>ao princípio da igualdade</w:t>
      </w:r>
      <w:r w:rsidR="00C639AA">
        <w:rPr>
          <w:rFonts w:ascii="Arial" w:hAnsi="Arial" w:cs="Arial"/>
          <w:sz w:val="20"/>
          <w:szCs w:val="20"/>
        </w:rPr>
        <w:t xml:space="preserve"> (CF,</w:t>
      </w:r>
      <w:r w:rsidR="00C639AA" w:rsidRPr="00C639AA">
        <w:rPr>
          <w:rFonts w:ascii="Arial" w:hAnsi="Arial" w:cs="Arial"/>
          <w:sz w:val="20"/>
          <w:szCs w:val="20"/>
        </w:rPr>
        <w:t xml:space="preserve"> artigo</w:t>
      </w:r>
      <w:r w:rsidR="00C639AA">
        <w:rPr>
          <w:rFonts w:ascii="Arial" w:hAnsi="Arial" w:cs="Arial"/>
          <w:sz w:val="20"/>
          <w:szCs w:val="20"/>
        </w:rPr>
        <w:t>s</w:t>
      </w:r>
      <w:r w:rsidR="00C639AA" w:rsidRPr="00C639AA">
        <w:rPr>
          <w:rFonts w:ascii="Arial" w:hAnsi="Arial" w:cs="Arial"/>
          <w:sz w:val="20"/>
          <w:szCs w:val="20"/>
        </w:rPr>
        <w:t xml:space="preserve"> 3º, inciso IV</w:t>
      </w:r>
      <w:r w:rsidR="00C639AA">
        <w:rPr>
          <w:rFonts w:ascii="Arial" w:hAnsi="Arial" w:cs="Arial"/>
          <w:sz w:val="20"/>
          <w:szCs w:val="20"/>
        </w:rPr>
        <w:t xml:space="preserve"> e </w:t>
      </w:r>
      <w:r w:rsidR="00C639AA" w:rsidRPr="00C639AA">
        <w:rPr>
          <w:rFonts w:ascii="Arial" w:hAnsi="Arial" w:cs="Arial"/>
          <w:sz w:val="20"/>
          <w:szCs w:val="20"/>
        </w:rPr>
        <w:t xml:space="preserve">artigo </w:t>
      </w:r>
      <w:r w:rsidR="00C639AA" w:rsidRPr="00C639AA">
        <w:rPr>
          <w:rFonts w:ascii="Arial" w:hAnsi="Arial" w:cs="Arial"/>
          <w:sz w:val="20"/>
          <w:szCs w:val="20"/>
        </w:rPr>
        <w:t>5º</w:t>
      </w:r>
      <w:r w:rsidRPr="00C639AA">
        <w:rPr>
          <w:rFonts w:ascii="Arial" w:hAnsi="Arial" w:cs="Arial"/>
          <w:sz w:val="20"/>
          <w:szCs w:val="20"/>
        </w:rPr>
        <w:t>)</w:t>
      </w:r>
      <w:r w:rsidR="00C639AA">
        <w:rPr>
          <w:rFonts w:ascii="Arial" w:hAnsi="Arial" w:cs="Arial"/>
          <w:sz w:val="20"/>
          <w:szCs w:val="20"/>
        </w:rPr>
        <w:t xml:space="preserve">; </w:t>
      </w:r>
      <w:r w:rsidRPr="00FC0E0C">
        <w:rPr>
          <w:rFonts w:ascii="Arial" w:hAnsi="Arial" w:cs="Arial"/>
          <w:sz w:val="20"/>
        </w:rPr>
        <w:t>b)</w:t>
      </w:r>
      <w:r w:rsidR="00C639AA">
        <w:rPr>
          <w:rFonts w:ascii="Arial" w:hAnsi="Arial" w:cs="Arial"/>
          <w:sz w:val="20"/>
        </w:rPr>
        <w:t xml:space="preserve"> </w:t>
      </w:r>
      <w:r w:rsidRPr="00FC0E0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disposto no artigo 6º</w:t>
      </w:r>
      <w:r w:rsidRPr="00FC0E0C">
        <w:rPr>
          <w:rFonts w:ascii="Arial" w:hAnsi="Arial" w:cs="Arial"/>
          <w:sz w:val="20"/>
          <w:szCs w:val="20"/>
        </w:rPr>
        <w:t xml:space="preserve"> do projeto de lei, por</w:t>
      </w:r>
      <w:r>
        <w:rPr>
          <w:rFonts w:ascii="Arial" w:hAnsi="Arial" w:cs="Arial"/>
          <w:sz w:val="20"/>
          <w:szCs w:val="20"/>
        </w:rPr>
        <w:t xml:space="preserve"> definir atribuições para órgãos municipais, </w:t>
      </w:r>
      <w:r w:rsidRPr="00FC0E0C">
        <w:rPr>
          <w:rFonts w:ascii="Arial" w:hAnsi="Arial" w:cs="Arial"/>
          <w:sz w:val="20"/>
          <w:szCs w:val="20"/>
        </w:rPr>
        <w:t>por sobre regime jurídico de servidores, vênia</w:t>
      </w:r>
      <w:r>
        <w:rPr>
          <w:rFonts w:ascii="Arial" w:hAnsi="Arial" w:cs="Arial"/>
          <w:sz w:val="20"/>
          <w:szCs w:val="20"/>
        </w:rPr>
        <w:t xml:space="preserve"> concedida, atrai malferimento</w:t>
      </w:r>
      <w:r w:rsidRPr="00FC0E0C">
        <w:rPr>
          <w:rFonts w:ascii="Arial" w:hAnsi="Arial" w:cs="Arial"/>
          <w:sz w:val="20"/>
          <w:szCs w:val="20"/>
        </w:rPr>
        <w:t xml:space="preserve"> ao disposto no artigo 94, inciso IV, da Lei Orgânica, que atribui competência privativa ao Chefe do Poder Executivo para realizar a gestão do Município.</w:t>
      </w:r>
    </w:p>
    <w:p w:rsidR="00FC0E0C" w:rsidRDefault="00FC0E0C" w:rsidP="00FC0E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FC0E0C" w:rsidRDefault="00FC0E0C" w:rsidP="00FC0E0C">
      <w:pPr>
        <w:pStyle w:val="Corpodetexto"/>
        <w:ind w:firstLine="708"/>
        <w:jc w:val="both"/>
        <w:rPr>
          <w:rFonts w:cs="Arial"/>
          <w:i/>
          <w:sz w:val="20"/>
        </w:rPr>
      </w:pPr>
    </w:p>
    <w:p w:rsidR="00FC0E0C" w:rsidRDefault="00FC0E0C" w:rsidP="00FC0E0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C0E0C" w:rsidRDefault="00FC0E0C" w:rsidP="00FC0E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14 de julho de 2016.</w:t>
      </w:r>
    </w:p>
    <w:p w:rsidR="00FC0E0C" w:rsidRDefault="00FC0E0C" w:rsidP="00FC0E0C">
      <w:pPr>
        <w:rPr>
          <w:rFonts w:ascii="Arial" w:hAnsi="Arial" w:cs="Arial"/>
          <w:sz w:val="20"/>
          <w:szCs w:val="20"/>
        </w:rPr>
      </w:pPr>
    </w:p>
    <w:p w:rsidR="00FC0E0C" w:rsidRDefault="00FC0E0C" w:rsidP="00FC0E0C">
      <w:pPr>
        <w:pStyle w:val="Corpodetexto"/>
        <w:ind w:firstLine="1418"/>
        <w:rPr>
          <w:rFonts w:cs="Arial"/>
          <w:i/>
          <w:sz w:val="20"/>
        </w:rPr>
      </w:pPr>
    </w:p>
    <w:p w:rsidR="00FC0E0C" w:rsidRDefault="00FC0E0C" w:rsidP="00FC0E0C">
      <w:pPr>
        <w:pStyle w:val="Corpodetexto"/>
        <w:ind w:firstLine="1418"/>
        <w:rPr>
          <w:i/>
          <w:sz w:val="20"/>
        </w:rPr>
      </w:pPr>
    </w:p>
    <w:p w:rsidR="00FC0E0C" w:rsidRDefault="00FC0E0C" w:rsidP="00FC0E0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97092E" w:rsidRDefault="00FC0E0C" w:rsidP="00C639AA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</w:p>
    <w:sectPr w:rsidR="0097092E" w:rsidSect="00A230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0C"/>
    <w:rsid w:val="0097092E"/>
    <w:rsid w:val="00A2307F"/>
    <w:rsid w:val="00C639AA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CE12-743F-454F-A845-D0A06F2D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E0C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0E0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FC0E0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C0E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C0E0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C0E0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C0E0C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C0E0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0E0C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0E0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2016-07-14T16:37:00Z</dcterms:created>
  <dcterms:modified xsi:type="dcterms:W3CDTF">2016-07-14T16:59:00Z</dcterms:modified>
</cp:coreProperties>
</file>