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5" w:rsidRPr="00CB0B25" w:rsidRDefault="00CB0B25" w:rsidP="00CB0B25">
      <w:pPr>
        <w:jc w:val="center"/>
        <w:rPr>
          <w:rFonts w:ascii="Arial" w:hAnsi="Arial" w:cs="Arial"/>
          <w:b/>
          <w:sz w:val="20"/>
          <w:szCs w:val="20"/>
        </w:rPr>
      </w:pPr>
      <w:r w:rsidRPr="00CB0B25">
        <w:rPr>
          <w:rFonts w:ascii="Arial" w:hAnsi="Arial" w:cs="Arial"/>
          <w:b/>
          <w:sz w:val="20"/>
          <w:szCs w:val="20"/>
        </w:rPr>
        <w:t>CAMARA MUNICIPAL DE PORTO ALEGRE</w:t>
      </w:r>
    </w:p>
    <w:p w:rsidR="00CB0B25" w:rsidRPr="00CB0B25" w:rsidRDefault="00CB0B25" w:rsidP="00CB0B25">
      <w:pPr>
        <w:pStyle w:val="Ttulo3"/>
        <w:rPr>
          <w:rFonts w:ascii="Arial" w:hAnsi="Arial" w:cs="Arial"/>
          <w:i w:val="0"/>
          <w:sz w:val="20"/>
        </w:rPr>
      </w:pPr>
      <w:r w:rsidRPr="00CB0B25">
        <w:rPr>
          <w:rFonts w:ascii="Arial" w:hAnsi="Arial" w:cs="Arial"/>
          <w:i w:val="0"/>
          <w:sz w:val="20"/>
        </w:rPr>
        <w:t>PROCURADORIA</w:t>
      </w:r>
    </w:p>
    <w:p w:rsidR="00CB0B25" w:rsidRPr="00CB0B25" w:rsidRDefault="00CB0B25" w:rsidP="00CB0B25">
      <w:pPr>
        <w:rPr>
          <w:rFonts w:ascii="Arial" w:hAnsi="Arial" w:cs="Arial"/>
          <w:sz w:val="20"/>
          <w:szCs w:val="20"/>
        </w:rPr>
      </w:pPr>
    </w:p>
    <w:p w:rsidR="00CB0B25" w:rsidRPr="00CB0B25" w:rsidRDefault="00CB0B25" w:rsidP="00CB0B25">
      <w:pPr>
        <w:pStyle w:val="Ttulo2"/>
        <w:rPr>
          <w:rFonts w:ascii="Arial" w:hAnsi="Arial" w:cs="Arial"/>
          <w:sz w:val="20"/>
        </w:rPr>
      </w:pPr>
      <w:r w:rsidRPr="00CB0B25">
        <w:rPr>
          <w:rFonts w:ascii="Arial" w:hAnsi="Arial" w:cs="Arial"/>
          <w:sz w:val="20"/>
        </w:rPr>
        <w:t>PARECER</w:t>
      </w:r>
      <w:r>
        <w:rPr>
          <w:rFonts w:ascii="Arial" w:hAnsi="Arial" w:cs="Arial"/>
          <w:sz w:val="20"/>
        </w:rPr>
        <w:t xml:space="preserve"> Nº </w:t>
      </w:r>
      <w:r w:rsidR="00665BC7">
        <w:rPr>
          <w:rFonts w:ascii="Arial" w:hAnsi="Arial" w:cs="Arial"/>
          <w:sz w:val="20"/>
        </w:rPr>
        <w:t>421/16.</w:t>
      </w:r>
    </w:p>
    <w:p w:rsidR="00CB0B25" w:rsidRPr="00CB0B25" w:rsidRDefault="00CB0B25" w:rsidP="00CB0B25">
      <w:pPr>
        <w:rPr>
          <w:rFonts w:ascii="Arial" w:hAnsi="Arial" w:cs="Arial"/>
          <w:sz w:val="20"/>
          <w:szCs w:val="20"/>
        </w:rPr>
      </w:pPr>
    </w:p>
    <w:p w:rsidR="00CB0B25" w:rsidRPr="00CB0B25" w:rsidRDefault="00CB0B25" w:rsidP="00CB0B25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CB0B25" w:rsidRPr="00CB0B25" w:rsidRDefault="00CB0B25" w:rsidP="00CB0B25">
      <w:pPr>
        <w:pStyle w:val="Ttulo1"/>
        <w:rPr>
          <w:rFonts w:ascii="Arial" w:hAnsi="Arial" w:cs="Arial"/>
          <w:b/>
          <w:sz w:val="20"/>
        </w:rPr>
      </w:pP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  <w:t xml:space="preserve">PROCESSO Nº </w:t>
      </w:r>
      <w:r>
        <w:rPr>
          <w:rFonts w:ascii="Arial" w:hAnsi="Arial" w:cs="Arial"/>
          <w:b/>
          <w:sz w:val="20"/>
        </w:rPr>
        <w:t>1583/16.</w:t>
      </w:r>
    </w:p>
    <w:p w:rsidR="00CB0B25" w:rsidRPr="00CB0B25" w:rsidRDefault="00CB0B25" w:rsidP="00CB0B25">
      <w:pPr>
        <w:pStyle w:val="Ttulo1"/>
        <w:rPr>
          <w:rFonts w:ascii="Arial" w:hAnsi="Arial" w:cs="Arial"/>
          <w:b/>
          <w:sz w:val="20"/>
        </w:rPr>
      </w:pP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</w:r>
      <w:r w:rsidRPr="00CB0B25">
        <w:rPr>
          <w:rFonts w:ascii="Arial" w:hAnsi="Arial" w:cs="Arial"/>
          <w:b/>
          <w:sz w:val="20"/>
        </w:rPr>
        <w:tab/>
        <w:t>PLE Nº 1</w:t>
      </w:r>
      <w:r>
        <w:rPr>
          <w:rFonts w:ascii="Arial" w:hAnsi="Arial" w:cs="Arial"/>
          <w:b/>
          <w:sz w:val="20"/>
        </w:rPr>
        <w:t>7</w:t>
      </w:r>
      <w:r w:rsidRPr="00CB0B25"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6</w:t>
      </w:r>
      <w:r w:rsidRPr="00CB0B25">
        <w:rPr>
          <w:rFonts w:ascii="Arial" w:hAnsi="Arial" w:cs="Arial"/>
          <w:b/>
          <w:sz w:val="20"/>
        </w:rPr>
        <w:t>.</w:t>
      </w:r>
    </w:p>
    <w:p w:rsidR="00CB0B25" w:rsidRPr="00CB0B25" w:rsidRDefault="00CB0B25" w:rsidP="00CB0B25">
      <w:pPr>
        <w:rPr>
          <w:rFonts w:ascii="Arial" w:hAnsi="Arial" w:cs="Arial"/>
          <w:sz w:val="20"/>
          <w:szCs w:val="20"/>
        </w:rPr>
      </w:pPr>
    </w:p>
    <w:p w:rsidR="00CB0B25" w:rsidRDefault="00CB0B25" w:rsidP="00CB0B25">
      <w:pPr>
        <w:pStyle w:val="Ttulo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CB0B25" w:rsidRDefault="00CB0B25" w:rsidP="003B30D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Executivo em epígrafe, que</w:t>
      </w:r>
      <w:r>
        <w:rPr>
          <w:rFonts w:ascii="Arial" w:hAnsi="Arial" w:cs="Arial"/>
          <w:sz w:val="20"/>
          <w:szCs w:val="20"/>
        </w:rPr>
        <w:t xml:space="preserve"> altera a</w:t>
      </w:r>
      <w:r w:rsidR="003B30D1">
        <w:rPr>
          <w:rFonts w:ascii="Arial" w:hAnsi="Arial" w:cs="Arial"/>
          <w:sz w:val="20"/>
          <w:szCs w:val="20"/>
        </w:rPr>
        <w:t xml:space="preserve"> Lei nº </w:t>
      </w:r>
      <w:r w:rsidR="003B30D1" w:rsidRPr="003B30D1">
        <w:rPr>
          <w:rFonts w:ascii="Arial" w:hAnsi="Arial" w:cs="Arial"/>
          <w:sz w:val="20"/>
          <w:szCs w:val="20"/>
        </w:rPr>
        <w:t xml:space="preserve"> 11.245</w:t>
      </w:r>
      <w:r w:rsidR="003B30D1">
        <w:rPr>
          <w:rFonts w:ascii="Arial" w:hAnsi="Arial" w:cs="Arial"/>
          <w:sz w:val="20"/>
          <w:szCs w:val="20"/>
        </w:rPr>
        <w:t>/12 - que cria a G</w:t>
      </w:r>
      <w:r w:rsidR="003B30D1" w:rsidRPr="003B30D1">
        <w:rPr>
          <w:rFonts w:ascii="Arial" w:hAnsi="Arial" w:cs="Arial"/>
          <w:sz w:val="20"/>
          <w:szCs w:val="20"/>
        </w:rPr>
        <w:t xml:space="preserve">ratificação por </w:t>
      </w:r>
      <w:r w:rsidR="003B30D1">
        <w:rPr>
          <w:rFonts w:ascii="Arial" w:hAnsi="Arial" w:cs="Arial"/>
          <w:sz w:val="20"/>
          <w:szCs w:val="20"/>
        </w:rPr>
        <w:t>D</w:t>
      </w:r>
      <w:r w:rsidR="003B30D1" w:rsidRPr="003B30D1">
        <w:rPr>
          <w:rFonts w:ascii="Arial" w:hAnsi="Arial" w:cs="Arial"/>
          <w:sz w:val="20"/>
          <w:szCs w:val="20"/>
        </w:rPr>
        <w:t xml:space="preserve">esempenho de </w:t>
      </w:r>
      <w:r w:rsidR="003B30D1">
        <w:rPr>
          <w:rFonts w:ascii="Arial" w:hAnsi="Arial" w:cs="Arial"/>
          <w:sz w:val="20"/>
          <w:szCs w:val="20"/>
        </w:rPr>
        <w:t>A</w:t>
      </w:r>
      <w:r w:rsidR="003B30D1" w:rsidRPr="003B30D1">
        <w:rPr>
          <w:rFonts w:ascii="Arial" w:hAnsi="Arial" w:cs="Arial"/>
          <w:sz w:val="20"/>
          <w:szCs w:val="20"/>
        </w:rPr>
        <w:t xml:space="preserve">tividade </w:t>
      </w:r>
      <w:r w:rsidR="003B30D1">
        <w:rPr>
          <w:rFonts w:ascii="Arial" w:hAnsi="Arial" w:cs="Arial"/>
          <w:sz w:val="20"/>
          <w:szCs w:val="20"/>
        </w:rPr>
        <w:t>E</w:t>
      </w:r>
      <w:r w:rsidR="003B30D1" w:rsidRPr="003B30D1">
        <w:rPr>
          <w:rFonts w:ascii="Arial" w:hAnsi="Arial" w:cs="Arial"/>
          <w:sz w:val="20"/>
          <w:szCs w:val="20"/>
        </w:rPr>
        <w:t>ssencial (</w:t>
      </w:r>
      <w:r w:rsidR="003B30D1">
        <w:rPr>
          <w:rFonts w:ascii="Arial" w:hAnsi="Arial" w:cs="Arial"/>
          <w:sz w:val="20"/>
          <w:szCs w:val="20"/>
        </w:rPr>
        <w:t>GDAE</w:t>
      </w:r>
      <w:r w:rsidR="003B30D1" w:rsidRPr="003B30D1">
        <w:rPr>
          <w:rFonts w:ascii="Arial" w:hAnsi="Arial" w:cs="Arial"/>
          <w:sz w:val="20"/>
          <w:szCs w:val="20"/>
        </w:rPr>
        <w:t xml:space="preserve">), devida aos servidores em efetivo </w:t>
      </w:r>
      <w:r w:rsidR="00BA0D74" w:rsidRPr="003B30D1">
        <w:rPr>
          <w:rFonts w:ascii="Arial" w:hAnsi="Arial" w:cs="Arial"/>
          <w:sz w:val="20"/>
          <w:szCs w:val="20"/>
        </w:rPr>
        <w:t>exercício</w:t>
      </w:r>
      <w:r w:rsidR="003B30D1" w:rsidRPr="003B30D1">
        <w:rPr>
          <w:rFonts w:ascii="Arial" w:hAnsi="Arial" w:cs="Arial"/>
          <w:sz w:val="20"/>
          <w:szCs w:val="20"/>
        </w:rPr>
        <w:t xml:space="preserve"> no </w:t>
      </w:r>
      <w:r w:rsidR="003B30D1">
        <w:rPr>
          <w:rFonts w:ascii="Arial" w:hAnsi="Arial" w:cs="Arial"/>
          <w:sz w:val="20"/>
          <w:szCs w:val="20"/>
        </w:rPr>
        <w:t>D</w:t>
      </w:r>
      <w:r w:rsidR="003B30D1" w:rsidRPr="003B30D1">
        <w:rPr>
          <w:rFonts w:ascii="Arial" w:hAnsi="Arial" w:cs="Arial"/>
          <w:sz w:val="20"/>
          <w:szCs w:val="20"/>
        </w:rPr>
        <w:t xml:space="preserve">epartamento </w:t>
      </w:r>
      <w:r w:rsidR="003B30D1">
        <w:rPr>
          <w:rFonts w:ascii="Arial" w:hAnsi="Arial" w:cs="Arial"/>
          <w:sz w:val="20"/>
          <w:szCs w:val="20"/>
        </w:rPr>
        <w:t>M</w:t>
      </w:r>
      <w:r w:rsidR="003B30D1" w:rsidRPr="003B30D1">
        <w:rPr>
          <w:rFonts w:ascii="Arial" w:hAnsi="Arial" w:cs="Arial"/>
          <w:sz w:val="20"/>
          <w:szCs w:val="20"/>
        </w:rPr>
        <w:t xml:space="preserve">unicipal de </w:t>
      </w:r>
      <w:r w:rsidR="003B30D1">
        <w:rPr>
          <w:rFonts w:ascii="Arial" w:hAnsi="Arial" w:cs="Arial"/>
          <w:sz w:val="20"/>
          <w:szCs w:val="20"/>
        </w:rPr>
        <w:t>Á</w:t>
      </w:r>
      <w:r w:rsidR="003B30D1" w:rsidRPr="003B30D1">
        <w:rPr>
          <w:rFonts w:ascii="Arial" w:hAnsi="Arial" w:cs="Arial"/>
          <w:sz w:val="20"/>
          <w:szCs w:val="20"/>
        </w:rPr>
        <w:t xml:space="preserve">gua e </w:t>
      </w:r>
      <w:r w:rsidR="003B30D1">
        <w:rPr>
          <w:rFonts w:ascii="Arial" w:hAnsi="Arial" w:cs="Arial"/>
          <w:sz w:val="20"/>
          <w:szCs w:val="20"/>
        </w:rPr>
        <w:t>E</w:t>
      </w:r>
      <w:r w:rsidR="003B30D1" w:rsidRPr="003B30D1">
        <w:rPr>
          <w:rFonts w:ascii="Arial" w:hAnsi="Arial" w:cs="Arial"/>
          <w:sz w:val="20"/>
          <w:szCs w:val="20"/>
        </w:rPr>
        <w:t>sgotos (</w:t>
      </w:r>
      <w:r w:rsidR="003B30D1">
        <w:rPr>
          <w:rFonts w:ascii="Arial" w:hAnsi="Arial" w:cs="Arial"/>
          <w:sz w:val="20"/>
          <w:szCs w:val="20"/>
        </w:rPr>
        <w:t>DMAE</w:t>
      </w:r>
      <w:r w:rsidR="003B30D1" w:rsidRPr="003B30D1">
        <w:rPr>
          <w:rFonts w:ascii="Arial" w:hAnsi="Arial" w:cs="Arial"/>
          <w:sz w:val="20"/>
          <w:szCs w:val="20"/>
        </w:rPr>
        <w:t xml:space="preserve">), altera o </w:t>
      </w:r>
      <w:r w:rsidR="003B30D1">
        <w:rPr>
          <w:rFonts w:ascii="Arial" w:hAnsi="Arial" w:cs="Arial"/>
          <w:sz w:val="20"/>
          <w:szCs w:val="20"/>
        </w:rPr>
        <w:t>A</w:t>
      </w:r>
      <w:r w:rsidR="003B30D1" w:rsidRPr="003B30D1">
        <w:rPr>
          <w:rFonts w:ascii="Arial" w:hAnsi="Arial" w:cs="Arial"/>
          <w:sz w:val="20"/>
          <w:szCs w:val="20"/>
        </w:rPr>
        <w:t xml:space="preserve">nexo </w:t>
      </w:r>
      <w:r w:rsidR="003B30D1">
        <w:rPr>
          <w:rFonts w:ascii="Arial" w:hAnsi="Arial" w:cs="Arial"/>
          <w:sz w:val="20"/>
          <w:szCs w:val="20"/>
        </w:rPr>
        <w:t>III</w:t>
      </w:r>
      <w:r w:rsidR="003B30D1" w:rsidRPr="003B30D1">
        <w:rPr>
          <w:rFonts w:ascii="Arial" w:hAnsi="Arial" w:cs="Arial"/>
          <w:sz w:val="20"/>
          <w:szCs w:val="20"/>
        </w:rPr>
        <w:t xml:space="preserve"> da </w:t>
      </w:r>
      <w:r w:rsidR="003B30D1">
        <w:rPr>
          <w:rFonts w:ascii="Arial" w:hAnsi="Arial" w:cs="Arial"/>
          <w:sz w:val="20"/>
          <w:szCs w:val="20"/>
        </w:rPr>
        <w:t>L</w:t>
      </w:r>
      <w:r w:rsidR="003B30D1" w:rsidRPr="003B30D1">
        <w:rPr>
          <w:rFonts w:ascii="Arial" w:hAnsi="Arial" w:cs="Arial"/>
          <w:sz w:val="20"/>
          <w:szCs w:val="20"/>
        </w:rPr>
        <w:t>ei nº 6.203</w:t>
      </w:r>
      <w:r w:rsidR="003B30D1">
        <w:rPr>
          <w:rFonts w:ascii="Arial" w:hAnsi="Arial" w:cs="Arial"/>
          <w:sz w:val="20"/>
          <w:szCs w:val="20"/>
        </w:rPr>
        <w:t>/</w:t>
      </w:r>
      <w:r w:rsidR="003B30D1" w:rsidRPr="003B30D1">
        <w:rPr>
          <w:rFonts w:ascii="Arial" w:hAnsi="Arial" w:cs="Arial"/>
          <w:sz w:val="20"/>
          <w:szCs w:val="20"/>
        </w:rPr>
        <w:t xml:space="preserve">88, e alterações posteriores, dispondo sobre o quadro de cargos em comissão e funções gratificadas dessa autarquia, e da outras providencias - alterando o índice da parcela fixa da gratificação, estabelecendo regras de transição e de </w:t>
      </w:r>
      <w:r w:rsidR="00BA0D74" w:rsidRPr="003B30D1">
        <w:rPr>
          <w:rFonts w:ascii="Arial" w:hAnsi="Arial" w:cs="Arial"/>
          <w:sz w:val="20"/>
          <w:szCs w:val="20"/>
        </w:rPr>
        <w:t>percepção</w:t>
      </w:r>
      <w:r w:rsidR="003B30D1" w:rsidRPr="003B30D1">
        <w:rPr>
          <w:rFonts w:ascii="Arial" w:hAnsi="Arial" w:cs="Arial"/>
          <w:sz w:val="20"/>
          <w:szCs w:val="20"/>
        </w:rPr>
        <w:t xml:space="preserve"> da </w:t>
      </w:r>
      <w:r w:rsidR="003B30D1">
        <w:rPr>
          <w:rFonts w:ascii="Arial" w:hAnsi="Arial" w:cs="Arial"/>
          <w:sz w:val="20"/>
          <w:szCs w:val="20"/>
        </w:rPr>
        <w:t>GDAE</w:t>
      </w:r>
      <w:r w:rsidR="003B30D1" w:rsidRPr="003B30D1">
        <w:rPr>
          <w:rFonts w:ascii="Arial" w:hAnsi="Arial" w:cs="Arial"/>
          <w:sz w:val="20"/>
          <w:szCs w:val="20"/>
        </w:rPr>
        <w:t xml:space="preserve"> para fins de aposentadoria.</w:t>
      </w:r>
    </w:p>
    <w:p w:rsidR="00364B80" w:rsidRPr="0027658E" w:rsidRDefault="00364B80" w:rsidP="00364B80">
      <w:pPr>
        <w:pStyle w:val="Corpodetexto"/>
        <w:ind w:firstLine="708"/>
        <w:jc w:val="both"/>
        <w:rPr>
          <w:rFonts w:cs="Arial"/>
          <w:sz w:val="20"/>
        </w:rPr>
      </w:pPr>
      <w:r w:rsidRPr="0027658E">
        <w:rPr>
          <w:rFonts w:cs="Arial"/>
          <w:sz w:val="20"/>
        </w:rPr>
        <w:t xml:space="preserve">A Carta Magna estatui que é de competência dos Municípios legislar sobre assuntos de interesse local </w:t>
      </w:r>
      <w:r w:rsidRPr="0027658E">
        <w:rPr>
          <w:sz w:val="20"/>
        </w:rPr>
        <w:t xml:space="preserve">auto - organizar e prestar seus </w:t>
      </w:r>
      <w:r w:rsidR="00EC5CB0" w:rsidRPr="0027658E">
        <w:rPr>
          <w:sz w:val="20"/>
        </w:rPr>
        <w:t>serviços.</w:t>
      </w:r>
      <w:r w:rsidR="00EC5CB0" w:rsidRPr="0027658E">
        <w:rPr>
          <w:rFonts w:cs="Arial"/>
          <w:sz w:val="20"/>
        </w:rPr>
        <w:t xml:space="preserve"> (</w:t>
      </w:r>
      <w:r w:rsidRPr="0027658E">
        <w:rPr>
          <w:rFonts w:cs="Arial"/>
          <w:sz w:val="20"/>
        </w:rPr>
        <w:t>art. 30, inciso I e V).</w:t>
      </w:r>
    </w:p>
    <w:p w:rsidR="00364B80" w:rsidRPr="0027658E" w:rsidRDefault="00364B80" w:rsidP="00364B80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665BC7" w:rsidRDefault="00364B80" w:rsidP="00665BC7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</w:r>
      <w:r w:rsidR="00665BC7">
        <w:rPr>
          <w:rFonts w:ascii="Arial" w:hAnsi="Arial" w:cs="Arial"/>
          <w:sz w:val="20"/>
          <w:szCs w:val="20"/>
        </w:rPr>
        <w:t xml:space="preserve">A Lei Orgânica do Município de Porto Alegre estabelece a competência do mesmo para estabelecer suas leis e atos relativos aos assuntos de interesse local e para organizar-se administrativamente, </w:t>
      </w:r>
      <w:r w:rsidR="00665BC7">
        <w:rPr>
          <w:rFonts w:ascii="Arial" w:hAnsi="Arial"/>
          <w:sz w:val="20"/>
          <w:szCs w:val="20"/>
        </w:rPr>
        <w:t>e declara a competência privativa do Chefe do Poder Executivo para iniciativa de leis que disponham sobre criação e estruturação de secretarias e órgãos da administração pública, bem como sobre criação e provimento de cargos e funções (artigo 9º, incisos I e III, e artigo 94, inciso VII).</w:t>
      </w:r>
    </w:p>
    <w:p w:rsidR="00364B80" w:rsidRDefault="00364B80" w:rsidP="00364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CE02BD">
        <w:rPr>
          <w:rFonts w:ascii="Arial" w:hAnsi="Arial" w:cs="Arial"/>
          <w:sz w:val="20"/>
          <w:szCs w:val="20"/>
        </w:rPr>
        <w:t>A matéria objeto do projeto de lei em exame, vê-se do exposto, se insere no âmbito de competência municipal</w:t>
      </w:r>
      <w:r>
        <w:rPr>
          <w:rFonts w:ascii="Arial" w:hAnsi="Arial" w:cs="Arial"/>
          <w:sz w:val="20"/>
          <w:szCs w:val="20"/>
        </w:rPr>
        <w:t>, inexistindo óbice jurídico à tramitação</w:t>
      </w:r>
      <w:r w:rsidRPr="00CE02BD">
        <w:rPr>
          <w:rFonts w:ascii="Arial" w:hAnsi="Arial" w:cs="Arial"/>
          <w:sz w:val="20"/>
          <w:szCs w:val="20"/>
        </w:rPr>
        <w:t>.</w:t>
      </w:r>
    </w:p>
    <w:p w:rsidR="00CB0B25" w:rsidRDefault="00CB0B25" w:rsidP="00CB0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CB0B25" w:rsidRDefault="00CB0B25" w:rsidP="00CB0B2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CB0B25" w:rsidRDefault="00CB0B25" w:rsidP="00CB0B2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B0B25" w:rsidRDefault="00CB0B25" w:rsidP="00CB0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</w:t>
      </w:r>
      <w:r w:rsidR="00665BC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</w:t>
      </w:r>
      <w:r w:rsidR="00665BC7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</w:t>
      </w:r>
      <w:r w:rsidR="00665BC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CB0B25" w:rsidRDefault="00CB0B25" w:rsidP="00CB0B25">
      <w:pPr>
        <w:pStyle w:val="Corpodetexto"/>
        <w:ind w:firstLine="1418"/>
        <w:rPr>
          <w:rFonts w:cs="Arial"/>
          <w:i/>
          <w:sz w:val="20"/>
        </w:rPr>
      </w:pPr>
    </w:p>
    <w:p w:rsidR="00CB0B25" w:rsidRDefault="00CB0B25" w:rsidP="00CB0B25">
      <w:pPr>
        <w:pStyle w:val="Corpodetexto"/>
        <w:ind w:firstLine="1418"/>
        <w:rPr>
          <w:rFonts w:cs="Arial"/>
          <w:i/>
          <w:sz w:val="20"/>
        </w:rPr>
      </w:pPr>
    </w:p>
    <w:p w:rsidR="00CB0B25" w:rsidRPr="00EC5CB0" w:rsidRDefault="00CB0B25" w:rsidP="00CB0B25">
      <w:pPr>
        <w:pStyle w:val="Corpodetexto"/>
        <w:ind w:firstLine="1418"/>
        <w:rPr>
          <w:rFonts w:cs="Arial"/>
          <w:i/>
          <w:sz w:val="20"/>
        </w:rPr>
      </w:pPr>
    </w:p>
    <w:p w:rsidR="00CB0B25" w:rsidRPr="00EC5CB0" w:rsidRDefault="00CB0B25" w:rsidP="00CB0B25">
      <w:pPr>
        <w:ind w:firstLine="1134"/>
        <w:rPr>
          <w:rFonts w:ascii="Arial" w:hAnsi="Arial" w:cs="Arial"/>
          <w:sz w:val="20"/>
          <w:szCs w:val="20"/>
        </w:rPr>
      </w:pPr>
      <w:r w:rsidRPr="00EC5CB0">
        <w:rPr>
          <w:rFonts w:ascii="Arial" w:hAnsi="Arial" w:cs="Arial"/>
          <w:sz w:val="20"/>
          <w:szCs w:val="20"/>
        </w:rPr>
        <w:t xml:space="preserve">  Claudio Roberto Velasquez</w:t>
      </w:r>
    </w:p>
    <w:p w:rsidR="00CB0B25" w:rsidRDefault="00CB0B25" w:rsidP="00CB0B25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EC5C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B0B25" w:rsidRDefault="00CB0B25" w:rsidP="00CB0B25">
      <w:pPr>
        <w:pStyle w:val="Corpodetexto"/>
        <w:ind w:firstLine="1418"/>
        <w:rPr>
          <w:rFonts w:cs="Arial"/>
          <w:i/>
        </w:rPr>
      </w:pPr>
    </w:p>
    <w:p w:rsidR="00CB0B25" w:rsidRDefault="00CB0B25" w:rsidP="00CB0B25">
      <w:pPr>
        <w:ind w:firstLine="708"/>
        <w:jc w:val="both"/>
        <w:rPr>
          <w:rFonts w:ascii="Arial" w:hAnsi="Arial"/>
          <w:sz w:val="20"/>
          <w:szCs w:val="20"/>
        </w:rPr>
      </w:pPr>
    </w:p>
    <w:p w:rsidR="00CB0B25" w:rsidRDefault="00CB0B25" w:rsidP="00CB0B25"/>
    <w:p w:rsidR="00CB0B25" w:rsidRDefault="00CB0B25" w:rsidP="00CB0B25"/>
    <w:p w:rsidR="00CB0B25" w:rsidRDefault="00CB0B25" w:rsidP="00CB0B25"/>
    <w:p w:rsidR="00CB0B25" w:rsidRDefault="00CB0B25" w:rsidP="00CB0B25"/>
    <w:p w:rsidR="00C82E60" w:rsidRDefault="00C82E60"/>
    <w:sectPr w:rsidR="00C82E60" w:rsidSect="00CB0B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25"/>
    <w:rsid w:val="00364B80"/>
    <w:rsid w:val="003B30D1"/>
    <w:rsid w:val="00665BC7"/>
    <w:rsid w:val="008638FD"/>
    <w:rsid w:val="00BA0D74"/>
    <w:rsid w:val="00C82E60"/>
    <w:rsid w:val="00CB0B25"/>
    <w:rsid w:val="00E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80D7-AAF6-42BB-AD03-E767C007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B25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B0B25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B0B25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B25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B0B2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B0B25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CB0B2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B0B2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8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2016-06-29T19:08:00Z</cp:lastPrinted>
  <dcterms:created xsi:type="dcterms:W3CDTF">2016-06-29T18:52:00Z</dcterms:created>
  <dcterms:modified xsi:type="dcterms:W3CDTF">2016-06-29T19:09:00Z</dcterms:modified>
</cp:coreProperties>
</file>