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3B" w:rsidRDefault="009C733B" w:rsidP="009C73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CÂMARA MUNICIPAL DE PORTO ALEGRE</w:t>
      </w:r>
    </w:p>
    <w:p w:rsidR="009C733B" w:rsidRDefault="009C733B" w:rsidP="009C73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PROCURADORIA</w:t>
      </w:r>
    </w:p>
    <w:p w:rsidR="009C733B" w:rsidRDefault="009C733B" w:rsidP="009C73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C733B" w:rsidRDefault="009C733B" w:rsidP="009C733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713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/16.</w:t>
      </w:r>
    </w:p>
    <w:p w:rsidR="009C733B" w:rsidRDefault="009C733B" w:rsidP="009C73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C733B" w:rsidRDefault="009C733B" w:rsidP="009C733B">
      <w:pPr>
        <w:spacing w:after="0" w:line="240" w:lineRule="auto"/>
        <w:ind w:firstLine="70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keepNext/>
        <w:spacing w:after="0" w:line="240" w:lineRule="auto"/>
        <w:ind w:left="453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2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25/16.</w:t>
      </w:r>
    </w:p>
    <w:p w:rsidR="009C733B" w:rsidRDefault="009C733B" w:rsidP="009C733B">
      <w:pPr>
        <w:keepNext/>
        <w:spacing w:after="0" w:line="240" w:lineRule="auto"/>
        <w:ind w:left="3828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 Nº 5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/16.</w:t>
      </w:r>
    </w:p>
    <w:p w:rsidR="009C733B" w:rsidRDefault="009C733B" w:rsidP="009C733B">
      <w:pPr>
        <w:spacing w:after="0" w:line="240" w:lineRule="auto"/>
        <w:ind w:left="453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submetido a exame desta Procuradoria, para parecer prévio, o Projeto de Resolução em epígrafe, que altera a Resolução nº 1.178, de 16 de julho de 1992, e alterações posteriores (Regimento da Câmara Municipal de Porto Alegre), dispondo </w:t>
      </w:r>
      <w:r>
        <w:rPr>
          <w:rFonts w:ascii="Arial" w:eastAsia="Times New Roman" w:hAnsi="Arial" w:cs="Arial"/>
          <w:sz w:val="20"/>
          <w:szCs w:val="20"/>
          <w:lang w:eastAsia="pt-BR"/>
        </w:rPr>
        <w:t>sobre as reuniões da Comissão Representativa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9C733B" w:rsidRDefault="009C733B" w:rsidP="009C733B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 Regimento deste Legislativo, em consonância com o comando normativo orgânico, dispõe,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verbis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9C733B" w:rsidRDefault="009C733B" w:rsidP="009C733B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keepNext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“Art. 125. O Regimento da Câmara somente poderá ser alterado através de Projeto de Resolução proposto:</w:t>
      </w: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I – pela Mesa;</w:t>
      </w:r>
    </w:p>
    <w:p w:rsidR="009C733B" w:rsidRDefault="009C733B" w:rsidP="009C73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II - por, no mínimo, um terço dos membros da Câmara. ”</w:t>
      </w:r>
    </w:p>
    <w:p w:rsidR="009C733B" w:rsidRDefault="009C733B" w:rsidP="009C73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matéria objeto da proposição se insere no âmbito de competência deste Legislativo, inexistindo óbice jurídico à tramitação.  </w:t>
      </w:r>
    </w:p>
    <w:p w:rsidR="009C733B" w:rsidRDefault="009C733B" w:rsidP="009C733B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9C733B" w:rsidRDefault="009C733B" w:rsidP="009C733B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À Diretoria Legislativa para os devidos fins.</w:t>
      </w:r>
    </w:p>
    <w:p w:rsidR="009C733B" w:rsidRDefault="009C733B" w:rsidP="009C733B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2</w:t>
      </w:r>
      <w:r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2.016.</w:t>
      </w:r>
    </w:p>
    <w:p w:rsidR="009C733B" w:rsidRDefault="009C733B" w:rsidP="009C733B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Claudio Roberto Velasquez</w:t>
      </w:r>
    </w:p>
    <w:p w:rsidR="009C733B" w:rsidRDefault="009C733B" w:rsidP="009C733B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Procurador-Geral–OAB/RS 18.594</w: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9C733B" w:rsidRDefault="009C733B" w:rsidP="009C73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C733B" w:rsidRDefault="009C733B" w:rsidP="009C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733B" w:rsidRDefault="009C733B" w:rsidP="009C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733B" w:rsidRDefault="009C733B" w:rsidP="009C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3B"/>
    <w:rsid w:val="002A1D93"/>
    <w:rsid w:val="009C733B"/>
    <w:rsid w:val="00E1390E"/>
    <w:rsid w:val="00E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8677-9119-4CEB-B09B-DA67740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3B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2016-11-25T17:21:00Z</cp:lastPrinted>
  <dcterms:created xsi:type="dcterms:W3CDTF">2016-11-25T17:18:00Z</dcterms:created>
  <dcterms:modified xsi:type="dcterms:W3CDTF">2016-11-25T17:21:00Z</dcterms:modified>
</cp:coreProperties>
</file>