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AE3" w:rsidRDefault="00774AE3" w:rsidP="00774AE3">
      <w:pPr>
        <w:rPr>
          <w:rFonts w:ascii="Arial" w:hAnsi="Arial" w:cs="Arial"/>
          <w:b/>
          <w:iCs/>
          <w:sz w:val="20"/>
          <w:szCs w:val="20"/>
        </w:rPr>
      </w:pPr>
      <w:r>
        <w:rPr>
          <w:rFonts w:ascii="Arial" w:hAnsi="Arial" w:cs="Arial"/>
          <w:b/>
          <w:iCs/>
          <w:sz w:val="20"/>
          <w:szCs w:val="20"/>
        </w:rPr>
        <w:t>CAMARA MUNICIPAL DE PORTO ALEGRE</w:t>
      </w:r>
    </w:p>
    <w:p w:rsidR="00774AE3" w:rsidRDefault="00774AE3" w:rsidP="00774AE3">
      <w:pPr>
        <w:pStyle w:val="Ttulo3"/>
        <w:jc w:val="left"/>
        <w:rPr>
          <w:rFonts w:ascii="Arial" w:hAnsi="Arial" w:cs="Arial"/>
          <w:i w:val="0"/>
          <w:iCs/>
          <w:sz w:val="20"/>
        </w:rPr>
      </w:pPr>
      <w:r>
        <w:rPr>
          <w:rFonts w:ascii="Arial" w:hAnsi="Arial" w:cs="Arial"/>
          <w:i w:val="0"/>
          <w:iCs/>
          <w:sz w:val="20"/>
        </w:rPr>
        <w:t xml:space="preserve">                                           PROCURADORIA</w:t>
      </w:r>
    </w:p>
    <w:p w:rsidR="00774AE3" w:rsidRDefault="00774AE3" w:rsidP="00774AE3">
      <w:pPr>
        <w:pStyle w:val="Ttulo3"/>
        <w:jc w:val="left"/>
        <w:rPr>
          <w:rFonts w:ascii="Arial" w:hAnsi="Arial" w:cs="Arial"/>
          <w:i w:val="0"/>
          <w:iCs/>
          <w:sz w:val="20"/>
        </w:rPr>
      </w:pPr>
    </w:p>
    <w:p w:rsidR="00774AE3" w:rsidRDefault="00774AE3" w:rsidP="00774AE3">
      <w:pPr>
        <w:pStyle w:val="Ttulo3"/>
        <w:jc w:val="left"/>
        <w:rPr>
          <w:rFonts w:ascii="Arial" w:hAnsi="Arial" w:cs="Arial"/>
          <w:i w:val="0"/>
          <w:iCs/>
          <w:sz w:val="20"/>
        </w:rPr>
      </w:pPr>
    </w:p>
    <w:p w:rsidR="00774AE3" w:rsidRDefault="00774AE3" w:rsidP="00774AE3">
      <w:pPr>
        <w:pStyle w:val="Ttulo3"/>
        <w:jc w:val="left"/>
        <w:rPr>
          <w:rFonts w:ascii="Arial" w:hAnsi="Arial" w:cs="Arial"/>
          <w:i w:val="0"/>
          <w:iCs/>
          <w:sz w:val="20"/>
        </w:rPr>
      </w:pPr>
      <w:r>
        <w:rPr>
          <w:rFonts w:ascii="Arial" w:hAnsi="Arial" w:cs="Arial"/>
          <w:i w:val="0"/>
          <w:sz w:val="20"/>
        </w:rPr>
        <w:t xml:space="preserve">PARECER Nº </w:t>
      </w:r>
      <w:r>
        <w:rPr>
          <w:rFonts w:ascii="Arial" w:hAnsi="Arial" w:cs="Arial"/>
          <w:i w:val="0"/>
          <w:sz w:val="20"/>
        </w:rPr>
        <w:t>790</w:t>
      </w:r>
      <w:bookmarkStart w:id="0" w:name="_GoBack"/>
      <w:bookmarkEnd w:id="0"/>
      <w:r>
        <w:rPr>
          <w:rFonts w:ascii="Arial" w:hAnsi="Arial" w:cs="Arial"/>
          <w:i w:val="0"/>
          <w:sz w:val="20"/>
        </w:rPr>
        <w:t>/16.</w:t>
      </w:r>
    </w:p>
    <w:p w:rsidR="00774AE3" w:rsidRDefault="00774AE3" w:rsidP="00774AE3">
      <w:pPr>
        <w:rPr>
          <w:sz w:val="20"/>
          <w:szCs w:val="20"/>
        </w:rPr>
      </w:pPr>
    </w:p>
    <w:p w:rsidR="00774AE3" w:rsidRDefault="00774AE3" w:rsidP="00774AE3">
      <w:pPr>
        <w:rPr>
          <w:rFonts w:ascii="Arial" w:hAnsi="Arial" w:cs="Arial"/>
          <w:iCs/>
          <w:sz w:val="20"/>
          <w:szCs w:val="20"/>
        </w:rPr>
      </w:pPr>
    </w:p>
    <w:p w:rsidR="00774AE3" w:rsidRDefault="00774AE3" w:rsidP="00774AE3">
      <w:pPr>
        <w:pStyle w:val="Ttulo1"/>
        <w:ind w:left="5664"/>
        <w:rPr>
          <w:rFonts w:ascii="Arial" w:hAnsi="Arial" w:cs="Arial"/>
          <w:b/>
          <w:sz w:val="20"/>
        </w:rPr>
      </w:pPr>
      <w:r>
        <w:rPr>
          <w:rFonts w:ascii="Arial" w:hAnsi="Arial" w:cs="Arial"/>
          <w:b/>
          <w:sz w:val="20"/>
        </w:rPr>
        <w:t>PROCESSO Nº 2561/16.</w:t>
      </w:r>
    </w:p>
    <w:p w:rsidR="00774AE3" w:rsidRDefault="00774AE3" w:rsidP="00774AE3">
      <w:pPr>
        <w:pStyle w:val="Ttulo1"/>
        <w:ind w:left="4956" w:firstLine="708"/>
        <w:rPr>
          <w:rFonts w:ascii="Arial" w:hAnsi="Arial" w:cs="Arial"/>
          <w:b/>
          <w:sz w:val="20"/>
        </w:rPr>
      </w:pPr>
      <w:r>
        <w:rPr>
          <w:rFonts w:ascii="Arial" w:hAnsi="Arial" w:cs="Arial"/>
          <w:b/>
          <w:sz w:val="20"/>
        </w:rPr>
        <w:t>PLL              Nº    256/16.</w:t>
      </w:r>
    </w:p>
    <w:p w:rsidR="00774AE3" w:rsidRDefault="00774AE3" w:rsidP="00774AE3">
      <w:pPr>
        <w:rPr>
          <w:sz w:val="20"/>
          <w:szCs w:val="20"/>
        </w:rPr>
      </w:pPr>
    </w:p>
    <w:p w:rsidR="00774AE3" w:rsidRDefault="00774AE3" w:rsidP="00774AE3">
      <w:pPr>
        <w:ind w:firstLine="1134"/>
        <w:rPr>
          <w:sz w:val="20"/>
          <w:szCs w:val="20"/>
        </w:rPr>
      </w:pPr>
    </w:p>
    <w:p w:rsidR="00774AE3" w:rsidRDefault="00774AE3" w:rsidP="00774AE3">
      <w:pPr>
        <w:ind w:firstLine="708"/>
        <w:jc w:val="both"/>
        <w:rPr>
          <w:rFonts w:ascii="Arial" w:hAnsi="Arial" w:cs="Arial"/>
          <w:sz w:val="20"/>
          <w:szCs w:val="20"/>
        </w:rPr>
      </w:pPr>
      <w:r>
        <w:rPr>
          <w:rFonts w:ascii="Arial" w:hAnsi="Arial" w:cs="Arial"/>
          <w:sz w:val="20"/>
          <w:szCs w:val="20"/>
        </w:rPr>
        <w:t xml:space="preserve">É submetido a exame desta Procuradoria, para parecer prévio, o Projeto de Lei do Legislativo em epígrafe, que denomina Praça Kauã Machado Nieto, Rua Jacira Pereira de Oliveira, Rua Lídia José Merel, Rua Olmiro Lorença da Silva, Rua Selma de Oliveira, Rua Floribal Olinto dos Santos, e Rua  Carlos Alfeu Carvalho os logradouro público não cadastrado conhecidos, respectivamente, como Praça 2015 – Loteamento </w:t>
      </w:r>
      <w:r w:rsidR="003F0FB0">
        <w:rPr>
          <w:rFonts w:ascii="Arial" w:hAnsi="Arial" w:cs="Arial"/>
          <w:sz w:val="20"/>
          <w:szCs w:val="20"/>
        </w:rPr>
        <w:t>Júlio</w:t>
      </w:r>
      <w:r>
        <w:rPr>
          <w:rFonts w:ascii="Arial" w:hAnsi="Arial" w:cs="Arial"/>
          <w:sz w:val="20"/>
          <w:szCs w:val="20"/>
        </w:rPr>
        <w:t xml:space="preserve"> Castilhos de Azevedo -, Rua Dois Mil e Oito, Rua Dois Mil e Trezes, Rua Dois Mil e Quatorze, Rua Dois Mil e Treze, Rua Dois Mil e Noventa e Quatro, Rua Dois Mil e Noventa e Cinco, Rua Dois Mil e Noventa e Seis e denomina Rua Regina José Silveira, Rua Artur Francisco Leites, Rua Pedro Merel e Rua Maria da Graça Barros os logradouros públicos não cadastrados conhecidos, respectivamente, como Rua Dois Mil e Sete, Rua 2009 – Loteamento Frederico Mentz –, Rua Dois Mil e Onze e Rua Dois Mil e Doze, todos localizados no Bairro Farrapos. </w:t>
      </w:r>
    </w:p>
    <w:p w:rsidR="00774AE3" w:rsidRDefault="00774AE3" w:rsidP="00774AE3">
      <w:pPr>
        <w:ind w:firstLine="708"/>
        <w:jc w:val="both"/>
        <w:rPr>
          <w:rFonts w:ascii="Arial" w:hAnsi="Arial" w:cs="Arial"/>
          <w:sz w:val="20"/>
          <w:szCs w:val="20"/>
        </w:rPr>
      </w:pPr>
      <w:r>
        <w:rPr>
          <w:rFonts w:ascii="Arial" w:hAnsi="Arial" w:cs="Arial"/>
          <w:sz w:val="20"/>
          <w:szCs w:val="20"/>
        </w:rPr>
        <w:t>Na forma do que dispõe a Carta Magna, compete aos Municípios legislar sobre assuntos de interesse local (artigo 30, inciso I).</w:t>
      </w:r>
    </w:p>
    <w:p w:rsidR="00774AE3" w:rsidRDefault="00774AE3" w:rsidP="00774AE3">
      <w:pPr>
        <w:pStyle w:val="Corpodetexto"/>
        <w:ind w:firstLine="1134"/>
        <w:rPr>
          <w:rFonts w:cs="Arial"/>
          <w:sz w:val="20"/>
        </w:rPr>
      </w:pPr>
      <w:r>
        <w:rPr>
          <w:rFonts w:cs="Arial"/>
          <w:sz w:val="20"/>
        </w:rPr>
        <w:t>A Lei Orgânica, de forma ajustada aos princípios constitucionais, determina a competência do Município para prover tudo quanto concerne a este assunto.</w:t>
      </w:r>
    </w:p>
    <w:p w:rsidR="00774AE3" w:rsidRDefault="00774AE3" w:rsidP="00774AE3">
      <w:pPr>
        <w:ind w:firstLine="708"/>
        <w:jc w:val="both"/>
        <w:rPr>
          <w:rFonts w:ascii="Arial" w:hAnsi="Arial" w:cs="Arial"/>
          <w:sz w:val="20"/>
          <w:szCs w:val="20"/>
        </w:rPr>
      </w:pPr>
      <w:r>
        <w:rPr>
          <w:rFonts w:ascii="Arial" w:hAnsi="Arial" w:cs="Arial"/>
          <w:sz w:val="20"/>
          <w:szCs w:val="20"/>
        </w:rPr>
        <w:t>A Lei Complementar nº 320/94, sucessivamente alterada, normatiza o procedimento para denominação de logradouros e equipamentos públicos, estabelecendo que possam receber denominação de pessoas, datas, fatos históricos e geográficos ou outros reconhecidos pela comunidade, e defere iniciativa legislativa aos titulares de mandato eletivo municipal no que tange à matéria (arts. 2º e 9º).</w:t>
      </w:r>
    </w:p>
    <w:p w:rsidR="00774AE3" w:rsidRDefault="00774AE3" w:rsidP="00774AE3">
      <w:pPr>
        <w:pStyle w:val="Recuodecorpodetexto"/>
        <w:ind w:firstLine="708"/>
        <w:rPr>
          <w:rFonts w:cs="Arial"/>
          <w:sz w:val="20"/>
        </w:rPr>
      </w:pPr>
      <w:r>
        <w:rPr>
          <w:rFonts w:cs="Arial"/>
          <w:sz w:val="20"/>
        </w:rPr>
        <w:t>A matéria o objeto da proposição insere-se no âmbito de competência municipal, inexistindo óbice jurídico à tramitação.</w:t>
      </w:r>
    </w:p>
    <w:p w:rsidR="00774AE3" w:rsidRDefault="00774AE3" w:rsidP="00774AE3">
      <w:pPr>
        <w:ind w:firstLine="708"/>
        <w:rPr>
          <w:rFonts w:ascii="Arial" w:hAnsi="Arial" w:cs="Arial"/>
          <w:sz w:val="20"/>
          <w:szCs w:val="20"/>
        </w:rPr>
      </w:pPr>
      <w:r>
        <w:rPr>
          <w:rFonts w:ascii="Arial" w:hAnsi="Arial" w:cs="Arial"/>
          <w:sz w:val="20"/>
          <w:szCs w:val="20"/>
        </w:rPr>
        <w:t xml:space="preserve">É o parecer, </w:t>
      </w:r>
      <w:r>
        <w:rPr>
          <w:rFonts w:ascii="Arial" w:hAnsi="Arial" w:cs="Arial"/>
          <w:i/>
          <w:sz w:val="20"/>
          <w:szCs w:val="20"/>
        </w:rPr>
        <w:t>sub censura</w:t>
      </w:r>
      <w:r>
        <w:rPr>
          <w:rFonts w:ascii="Arial" w:hAnsi="Arial" w:cs="Arial"/>
          <w:sz w:val="20"/>
          <w:szCs w:val="20"/>
        </w:rPr>
        <w:t>.</w:t>
      </w:r>
    </w:p>
    <w:p w:rsidR="00774AE3" w:rsidRDefault="00774AE3" w:rsidP="00774AE3">
      <w:pPr>
        <w:rPr>
          <w:rFonts w:ascii="Arial" w:hAnsi="Arial" w:cs="Arial"/>
          <w:sz w:val="20"/>
          <w:szCs w:val="20"/>
        </w:rPr>
      </w:pPr>
    </w:p>
    <w:p w:rsidR="00774AE3" w:rsidRDefault="00774AE3" w:rsidP="00774AE3">
      <w:pPr>
        <w:ind w:firstLine="708"/>
        <w:rPr>
          <w:rFonts w:ascii="Arial" w:hAnsi="Arial" w:cs="Arial"/>
          <w:sz w:val="20"/>
          <w:szCs w:val="20"/>
        </w:rPr>
      </w:pPr>
      <w:r>
        <w:rPr>
          <w:rFonts w:ascii="Arial" w:hAnsi="Arial" w:cs="Arial"/>
          <w:sz w:val="20"/>
          <w:szCs w:val="20"/>
        </w:rPr>
        <w:t>Á Diretoria Legislativa para processamento na forma regimental.</w:t>
      </w:r>
    </w:p>
    <w:p w:rsidR="00774AE3" w:rsidRDefault="00774AE3" w:rsidP="00774AE3">
      <w:pPr>
        <w:ind w:firstLine="708"/>
        <w:rPr>
          <w:rFonts w:ascii="Arial" w:hAnsi="Arial" w:cs="Arial"/>
          <w:sz w:val="20"/>
          <w:szCs w:val="20"/>
        </w:rPr>
      </w:pPr>
      <w:r>
        <w:rPr>
          <w:rFonts w:ascii="Arial" w:hAnsi="Arial" w:cs="Arial"/>
          <w:sz w:val="20"/>
          <w:szCs w:val="20"/>
        </w:rPr>
        <w:t>Em 21 de dezembro de 2016.</w:t>
      </w:r>
    </w:p>
    <w:p w:rsidR="00774AE3" w:rsidRDefault="00774AE3" w:rsidP="00774AE3">
      <w:pPr>
        <w:rPr>
          <w:rFonts w:ascii="Arial" w:hAnsi="Arial" w:cs="Arial"/>
          <w:sz w:val="20"/>
          <w:szCs w:val="20"/>
        </w:rPr>
      </w:pPr>
    </w:p>
    <w:p w:rsidR="00774AE3" w:rsidRDefault="00774AE3" w:rsidP="00774AE3">
      <w:pPr>
        <w:rPr>
          <w:rFonts w:ascii="Arial" w:hAnsi="Arial" w:cs="Arial"/>
          <w:sz w:val="20"/>
          <w:szCs w:val="20"/>
        </w:rPr>
      </w:pPr>
    </w:p>
    <w:p w:rsidR="00774AE3" w:rsidRDefault="00774AE3" w:rsidP="00774AE3">
      <w:pPr>
        <w:rPr>
          <w:rFonts w:ascii="Arial" w:hAnsi="Arial" w:cs="Arial"/>
          <w:sz w:val="20"/>
          <w:szCs w:val="20"/>
        </w:rPr>
      </w:pPr>
    </w:p>
    <w:p w:rsidR="00774AE3" w:rsidRDefault="00774AE3" w:rsidP="00774AE3">
      <w:pPr>
        <w:rPr>
          <w:rFonts w:ascii="Arial" w:hAnsi="Arial" w:cs="Arial"/>
          <w:sz w:val="20"/>
          <w:szCs w:val="20"/>
        </w:rPr>
      </w:pPr>
    </w:p>
    <w:p w:rsidR="00774AE3" w:rsidRDefault="00774AE3" w:rsidP="00774AE3">
      <w:pPr>
        <w:ind w:left="4956"/>
        <w:rPr>
          <w:rFonts w:ascii="Arial" w:hAnsi="Arial" w:cs="Arial"/>
          <w:b/>
          <w:sz w:val="20"/>
          <w:szCs w:val="20"/>
        </w:rPr>
      </w:pPr>
    </w:p>
    <w:p w:rsidR="00774AE3" w:rsidRDefault="00774AE3" w:rsidP="00774AE3">
      <w:pPr>
        <w:rPr>
          <w:rFonts w:ascii="Arial" w:hAnsi="Arial" w:cs="Arial"/>
          <w:sz w:val="20"/>
          <w:szCs w:val="20"/>
        </w:rPr>
      </w:pPr>
      <w:r>
        <w:rPr>
          <w:rFonts w:ascii="Arial" w:hAnsi="Arial" w:cs="Arial"/>
          <w:sz w:val="20"/>
          <w:szCs w:val="20"/>
        </w:rPr>
        <w:t xml:space="preserve">                     Claudio Roberto Velasquez</w:t>
      </w:r>
    </w:p>
    <w:p w:rsidR="00774AE3" w:rsidRDefault="00774AE3" w:rsidP="00774AE3">
      <w:pPr>
        <w:rPr>
          <w:rFonts w:ascii="Arial" w:hAnsi="Arial" w:cs="Arial"/>
          <w:sz w:val="16"/>
          <w:szCs w:val="16"/>
        </w:rPr>
      </w:pPr>
      <w:r>
        <w:rPr>
          <w:rFonts w:ascii="Arial" w:hAnsi="Arial" w:cs="Arial"/>
          <w:sz w:val="16"/>
          <w:szCs w:val="16"/>
        </w:rPr>
        <w:t xml:space="preserve">                           Procurador-Geral–OAB/RS 18.594</w:t>
      </w:r>
      <w:r>
        <w:rPr>
          <w:rFonts w:ascii="Arial" w:hAnsi="Arial" w:cs="Arial"/>
          <w:sz w:val="16"/>
          <w:szCs w:val="16"/>
        </w:rPr>
        <w:tab/>
      </w:r>
    </w:p>
    <w:p w:rsidR="00774AE3" w:rsidRDefault="00774AE3" w:rsidP="00774AE3">
      <w:pPr>
        <w:rPr>
          <w:rFonts w:ascii="Arial" w:hAnsi="Arial" w:cs="Arial"/>
          <w:sz w:val="20"/>
          <w:szCs w:val="20"/>
        </w:rPr>
      </w:pPr>
    </w:p>
    <w:p w:rsidR="00774AE3" w:rsidRDefault="00774AE3" w:rsidP="00774AE3">
      <w:pPr>
        <w:rPr>
          <w:rFonts w:ascii="Arial" w:hAnsi="Arial" w:cs="Arial"/>
          <w:b/>
          <w:sz w:val="20"/>
          <w:szCs w:val="20"/>
        </w:rPr>
      </w:pPr>
    </w:p>
    <w:p w:rsidR="00774AE3" w:rsidRDefault="00774AE3" w:rsidP="00774AE3">
      <w:pPr>
        <w:rPr>
          <w:rFonts w:ascii="Arial" w:hAnsi="Arial" w:cs="Arial"/>
          <w:b/>
          <w:sz w:val="20"/>
          <w:szCs w:val="20"/>
        </w:rPr>
      </w:pPr>
    </w:p>
    <w:p w:rsidR="00774AE3" w:rsidRDefault="00774AE3" w:rsidP="00774AE3">
      <w:pPr>
        <w:rPr>
          <w:sz w:val="20"/>
          <w:szCs w:val="20"/>
        </w:rPr>
      </w:pPr>
    </w:p>
    <w:p w:rsidR="00774AE3" w:rsidRDefault="00774AE3" w:rsidP="00774AE3">
      <w:pPr>
        <w:rPr>
          <w:sz w:val="20"/>
          <w:szCs w:val="20"/>
        </w:rPr>
      </w:pPr>
    </w:p>
    <w:p w:rsidR="00774AE3" w:rsidRDefault="00774AE3" w:rsidP="00774AE3"/>
    <w:p w:rsidR="00774AE3" w:rsidRDefault="00774AE3" w:rsidP="00774AE3"/>
    <w:p w:rsidR="00774AE3" w:rsidRDefault="00774AE3" w:rsidP="00774AE3"/>
    <w:p w:rsidR="00774AE3" w:rsidRDefault="00774AE3" w:rsidP="00774AE3"/>
    <w:p w:rsidR="00774AE3" w:rsidRDefault="00774AE3" w:rsidP="00774AE3"/>
    <w:p w:rsidR="00774AE3" w:rsidRDefault="00774AE3" w:rsidP="00774AE3"/>
    <w:p w:rsidR="00774AE3" w:rsidRDefault="00774AE3" w:rsidP="00774AE3"/>
    <w:p w:rsidR="00E1390E" w:rsidRDefault="00E1390E"/>
    <w:sectPr w:rsidR="00E1390E" w:rsidSect="002A1D93">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E3"/>
    <w:rsid w:val="002A1D93"/>
    <w:rsid w:val="003F0FB0"/>
    <w:rsid w:val="00774AE3"/>
    <w:rsid w:val="00E139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8BC69-8917-4A98-B5EA-DC5BE9CF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ind w:firstLine="1418"/>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AE3"/>
    <w:pPr>
      <w:ind w:firstLine="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74AE3"/>
    <w:pPr>
      <w:keepNext/>
      <w:outlineLvl w:val="0"/>
    </w:pPr>
    <w:rPr>
      <w:sz w:val="40"/>
      <w:szCs w:val="20"/>
    </w:rPr>
  </w:style>
  <w:style w:type="paragraph" w:styleId="Ttulo3">
    <w:name w:val="heading 3"/>
    <w:basedOn w:val="Normal"/>
    <w:next w:val="Normal"/>
    <w:link w:val="Ttulo3Char"/>
    <w:semiHidden/>
    <w:unhideWhenUsed/>
    <w:qFormat/>
    <w:rsid w:val="00774AE3"/>
    <w:pPr>
      <w:keepNext/>
      <w:jc w:val="center"/>
      <w:outlineLvl w:val="2"/>
    </w:pPr>
    <w:rPr>
      <w:b/>
      <w:i/>
      <w:sz w:val="4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4AE3"/>
    <w:rPr>
      <w:rFonts w:ascii="Times New Roman" w:eastAsia="Times New Roman" w:hAnsi="Times New Roman" w:cs="Times New Roman"/>
      <w:sz w:val="40"/>
      <w:szCs w:val="20"/>
      <w:lang w:eastAsia="pt-BR"/>
    </w:rPr>
  </w:style>
  <w:style w:type="character" w:customStyle="1" w:styleId="Ttulo3Char">
    <w:name w:val="Título 3 Char"/>
    <w:basedOn w:val="Fontepargpadro"/>
    <w:link w:val="Ttulo3"/>
    <w:semiHidden/>
    <w:rsid w:val="00774AE3"/>
    <w:rPr>
      <w:rFonts w:ascii="Times New Roman" w:eastAsia="Times New Roman" w:hAnsi="Times New Roman" w:cs="Times New Roman"/>
      <w:b/>
      <w:i/>
      <w:sz w:val="40"/>
      <w:szCs w:val="20"/>
      <w:lang w:eastAsia="pt-BR"/>
    </w:rPr>
  </w:style>
  <w:style w:type="paragraph" w:styleId="Corpodetexto">
    <w:name w:val="Body Text"/>
    <w:basedOn w:val="Normal"/>
    <w:link w:val="CorpodetextoChar"/>
    <w:semiHidden/>
    <w:unhideWhenUsed/>
    <w:rsid w:val="00774AE3"/>
    <w:pPr>
      <w:jc w:val="both"/>
    </w:pPr>
    <w:rPr>
      <w:rFonts w:ascii="Arial" w:hAnsi="Arial"/>
      <w:szCs w:val="20"/>
    </w:rPr>
  </w:style>
  <w:style w:type="character" w:customStyle="1" w:styleId="CorpodetextoChar">
    <w:name w:val="Corpo de texto Char"/>
    <w:basedOn w:val="Fontepargpadro"/>
    <w:link w:val="Corpodetexto"/>
    <w:semiHidden/>
    <w:rsid w:val="00774AE3"/>
    <w:rPr>
      <w:rFonts w:ascii="Arial" w:eastAsia="Times New Roman" w:hAnsi="Arial" w:cs="Times New Roman"/>
      <w:sz w:val="24"/>
      <w:szCs w:val="20"/>
      <w:lang w:eastAsia="pt-BR"/>
    </w:rPr>
  </w:style>
  <w:style w:type="paragraph" w:styleId="Recuodecorpodetexto">
    <w:name w:val="Body Text Indent"/>
    <w:basedOn w:val="Normal"/>
    <w:link w:val="RecuodecorpodetextoChar"/>
    <w:semiHidden/>
    <w:unhideWhenUsed/>
    <w:rsid w:val="00774AE3"/>
    <w:pPr>
      <w:ind w:firstLine="1416"/>
      <w:jc w:val="both"/>
    </w:pPr>
    <w:rPr>
      <w:rFonts w:ascii="Arial" w:hAnsi="Arial"/>
      <w:szCs w:val="20"/>
    </w:rPr>
  </w:style>
  <w:style w:type="character" w:customStyle="1" w:styleId="RecuodecorpodetextoChar">
    <w:name w:val="Recuo de corpo de texto Char"/>
    <w:basedOn w:val="Fontepargpadro"/>
    <w:link w:val="Recuodecorpodetexto"/>
    <w:semiHidden/>
    <w:rsid w:val="00774AE3"/>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42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1809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Cláudio Roberto Velasquez</dc:creator>
  <cp:keywords/>
  <dc:description/>
  <cp:lastModifiedBy>Cláudio Roberto Velasquez</cp:lastModifiedBy>
  <cp:revision>2</cp:revision>
  <dcterms:created xsi:type="dcterms:W3CDTF">2016-12-21T18:03:00Z</dcterms:created>
  <dcterms:modified xsi:type="dcterms:W3CDTF">2016-12-21T18:05:00Z</dcterms:modified>
</cp:coreProperties>
</file>