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54" w:rsidRDefault="00FB7154" w:rsidP="00FB7154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FB7154" w:rsidRDefault="00FB7154" w:rsidP="00FB7154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FB7154" w:rsidRDefault="00FB7154" w:rsidP="00FB7154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FB7154" w:rsidRDefault="00FB7154" w:rsidP="00FB7154">
      <w:pPr>
        <w:ind w:left="708" w:hanging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 737/16.</w:t>
      </w:r>
    </w:p>
    <w:p w:rsidR="00FB7154" w:rsidRDefault="00FB7154" w:rsidP="00FB7154">
      <w:pPr>
        <w:jc w:val="center"/>
        <w:rPr>
          <w:rFonts w:ascii="Arial" w:hAnsi="Arial"/>
          <w:b/>
          <w:sz w:val="20"/>
          <w:szCs w:val="20"/>
        </w:rPr>
      </w:pPr>
    </w:p>
    <w:p w:rsidR="00FB7154" w:rsidRDefault="00FB7154" w:rsidP="00FB7154">
      <w:pPr>
        <w:ind w:left="6663"/>
        <w:rPr>
          <w:rFonts w:ascii="Arial" w:hAnsi="Arial"/>
          <w:b/>
          <w:sz w:val="20"/>
          <w:szCs w:val="20"/>
        </w:rPr>
      </w:pPr>
    </w:p>
    <w:p w:rsidR="00FB7154" w:rsidRDefault="00FB7154" w:rsidP="00FB715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PROCESSO Nº 2611/16.</w:t>
      </w:r>
    </w:p>
    <w:p w:rsidR="00FB7154" w:rsidRDefault="00FB7154" w:rsidP="00FB715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PLE Nº 29/16.</w:t>
      </w:r>
    </w:p>
    <w:p w:rsidR="00FB7154" w:rsidRDefault="00FB7154" w:rsidP="00FB7154">
      <w:pPr>
        <w:ind w:left="708" w:firstLine="708"/>
        <w:rPr>
          <w:rFonts w:ascii="Arial" w:hAnsi="Arial"/>
          <w:b/>
          <w:sz w:val="20"/>
          <w:szCs w:val="20"/>
        </w:rPr>
      </w:pPr>
    </w:p>
    <w:p w:rsidR="00FB7154" w:rsidRDefault="00FB7154" w:rsidP="00FB7154">
      <w:pPr>
        <w:ind w:left="708" w:firstLine="708"/>
        <w:rPr>
          <w:rFonts w:ascii="Arial" w:hAnsi="Arial"/>
          <w:b/>
          <w:sz w:val="20"/>
          <w:szCs w:val="20"/>
        </w:rPr>
      </w:pPr>
    </w:p>
    <w:p w:rsidR="00FB7154" w:rsidRDefault="00FB7154" w:rsidP="00FB715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É submetido a exame desta Procuradoria, para parecer prévio, o Projeto de Lei do Executivo em epígrafe, que autoriza a desafetação e alienação de próprio municipal localizado entre o nº 3020 da Av. Ipiranga e o nº 1269 da Rua Santa Catarina, destinada à passagem de pedestres, à proprietária lindeira Companhia Zaffari Comercio e Industria.</w:t>
      </w:r>
    </w:p>
    <w:p w:rsidR="00FB7154" w:rsidRDefault="00FB7154" w:rsidP="00FB7154">
      <w:pPr>
        <w:pStyle w:val="Recuodecorpodetexto"/>
        <w:ind w:left="0" w:firstLine="540"/>
        <w:rPr>
          <w:rFonts w:cs="Arial"/>
          <w:szCs w:val="20"/>
        </w:rPr>
      </w:pPr>
      <w:r>
        <w:rPr>
          <w:rFonts w:cs="Arial"/>
          <w:szCs w:val="20"/>
        </w:rPr>
        <w:t>Os Municípios detêm autonomia administrativa e financeira e competência para legislar sobre assuntos de interesse local (arts. 18 e 30, inciso I, da CF).</w:t>
      </w:r>
    </w:p>
    <w:p w:rsidR="00FB7154" w:rsidRDefault="00FB7154" w:rsidP="00FB7154">
      <w:pPr>
        <w:pStyle w:val="Recuodecorpodetexto3"/>
        <w:ind w:left="0" w:firstLine="540"/>
        <w:rPr>
          <w:rFonts w:cs="Arial"/>
          <w:i w:val="0"/>
          <w:iCs/>
          <w:sz w:val="20"/>
          <w:szCs w:val="20"/>
        </w:rPr>
      </w:pPr>
      <w:r>
        <w:rPr>
          <w:rFonts w:cs="Arial"/>
          <w:i w:val="0"/>
          <w:iCs/>
          <w:sz w:val="20"/>
          <w:szCs w:val="20"/>
        </w:rPr>
        <w:t>A Lei Orgânica do Município de Porto Alegre, nos artigos 8º, inciso VII, 9º, inciso IV, declara a competência deste para dispor sobre a administração, utilização e alienação de seus bens.</w:t>
      </w:r>
    </w:p>
    <w:p w:rsidR="00FB7154" w:rsidRDefault="00FB7154" w:rsidP="00FB7154">
      <w:pPr>
        <w:ind w:firstLine="54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respeito da alienação de bens públicos municipais, dispõe, </w:t>
      </w:r>
      <w:r>
        <w:rPr>
          <w:rFonts w:ascii="Arial" w:hAnsi="Arial"/>
          <w:i/>
          <w:iCs/>
          <w:sz w:val="20"/>
          <w:szCs w:val="20"/>
        </w:rPr>
        <w:t>verbis:</w:t>
      </w:r>
    </w:p>
    <w:p w:rsidR="00FB7154" w:rsidRDefault="00FB7154" w:rsidP="00FB7154">
      <w:pPr>
        <w:ind w:left="540"/>
        <w:jc w:val="both"/>
        <w:rPr>
          <w:rFonts w:ascii="Arial" w:hAnsi="Arial"/>
          <w:i/>
          <w:iCs/>
          <w:sz w:val="16"/>
          <w:szCs w:val="16"/>
        </w:rPr>
      </w:pPr>
    </w:p>
    <w:p w:rsidR="00FB7154" w:rsidRDefault="00FB7154" w:rsidP="00FB7154">
      <w:pPr>
        <w:ind w:left="540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16"/>
          <w:szCs w:val="16"/>
        </w:rPr>
        <w:t xml:space="preserve">“Art. 12 – A alienação de bens municipais, subordinada à existência de interesse público </w:t>
      </w:r>
      <w:r>
        <w:rPr>
          <w:rFonts w:ascii="Arial" w:hAnsi="Arial"/>
          <w:iCs/>
          <w:sz w:val="16"/>
          <w:szCs w:val="16"/>
        </w:rPr>
        <w:tab/>
        <w:t>devidamente justificado, será sempre precedida de avaliação e obedecerá ao seguinte:</w:t>
      </w:r>
    </w:p>
    <w:p w:rsidR="00FB7154" w:rsidRDefault="00FB7154" w:rsidP="00FB7154">
      <w:pPr>
        <w:ind w:left="540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16"/>
          <w:szCs w:val="16"/>
        </w:rPr>
        <w:t>I – quando imóveis, dependerá de autorização legislativa e concorrência pública, dispensada esta nos casos de permuta;</w:t>
      </w:r>
    </w:p>
    <w:p w:rsidR="00FB7154" w:rsidRDefault="00FB7154" w:rsidP="00FB7154">
      <w:pPr>
        <w:ind w:left="540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16"/>
          <w:szCs w:val="16"/>
        </w:rPr>
        <w:t>...</w:t>
      </w:r>
    </w:p>
    <w:p w:rsidR="00FB7154" w:rsidRDefault="00FB7154" w:rsidP="00FB7154">
      <w:pPr>
        <w:ind w:left="540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16"/>
          <w:szCs w:val="16"/>
        </w:rPr>
        <w:t>Parágrafo Único - A venda, aos proprietários lindeiros, respeitada a preferência do antigo proprietário, as áreas urbanas remanescentes e inaproveitáveis resultantes de obras públicas ou de modificação de alinhamento dependerá de prévia avaliação e autorização legislativa, dispensada a concorrência pública.</w:t>
      </w:r>
    </w:p>
    <w:p w:rsidR="00FB7154" w:rsidRDefault="00FB7154" w:rsidP="00FB7154">
      <w:pPr>
        <w:pStyle w:val="Recuodecorpodetexto3"/>
        <w:ind w:left="0" w:firstLine="540"/>
        <w:rPr>
          <w:rFonts w:cs="Arial"/>
          <w:i w:val="0"/>
          <w:iCs/>
          <w:sz w:val="20"/>
          <w:szCs w:val="20"/>
        </w:rPr>
      </w:pPr>
    </w:p>
    <w:p w:rsidR="00FB7154" w:rsidRDefault="00FB7154" w:rsidP="00FB7154">
      <w:pPr>
        <w:pStyle w:val="Recuodecorpodetexto2"/>
        <w:ind w:firstLine="540"/>
        <w:rPr>
          <w:sz w:val="20"/>
          <w:szCs w:val="20"/>
        </w:rPr>
      </w:pPr>
      <w:r>
        <w:rPr>
          <w:sz w:val="20"/>
          <w:szCs w:val="20"/>
        </w:rPr>
        <w:t>A Lei nº 8.666/93, na Seção VI, que regula a alienação de bens públicos, dispõe:</w:t>
      </w:r>
    </w:p>
    <w:p w:rsidR="00FB7154" w:rsidRDefault="00FB7154" w:rsidP="00FB715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FB7154" w:rsidRDefault="00FB7154" w:rsidP="00FB7154">
      <w:pPr>
        <w:pStyle w:val="Recuodecorpodetexto"/>
        <w:ind w:left="567" w:firstLine="0"/>
        <w:rPr>
          <w:iCs w:val="0"/>
          <w:sz w:val="16"/>
          <w:szCs w:val="16"/>
        </w:rPr>
      </w:pPr>
      <w:r>
        <w:rPr>
          <w:iCs w:val="0"/>
          <w:szCs w:val="20"/>
        </w:rPr>
        <w:t xml:space="preserve"> </w:t>
      </w:r>
      <w:r>
        <w:rPr>
          <w:iCs w:val="0"/>
          <w:sz w:val="16"/>
          <w:szCs w:val="16"/>
        </w:rPr>
        <w:t>“Art. 17 - A alienação de bens da Administração Pública, subordinada à existência de interesse público devidamente justificado, será precedida de avaliação e obedecerá às seguintes normas:</w:t>
      </w:r>
    </w:p>
    <w:p w:rsidR="00FB7154" w:rsidRDefault="00FB7154" w:rsidP="00FB7154">
      <w:pPr>
        <w:pStyle w:val="Recuodecorpodetexto3"/>
        <w:ind w:left="567" w:hanging="4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I - quando imóveis, dependerá de autorização legislativa para órgãos da administração direta e entidades autárquicas e fundacionais, e, para todos, inclusive as entidades paraestatais, dependerá de avaliação prévia e de licitação na modalidade de concorrência, dispensada esta nos seguintes casos:</w:t>
      </w:r>
    </w:p>
    <w:p w:rsidR="00FB7154" w:rsidRDefault="00FB7154" w:rsidP="00FB7154">
      <w:pPr>
        <w:ind w:firstLine="56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...</w:t>
      </w:r>
    </w:p>
    <w:p w:rsidR="00FB7154" w:rsidRDefault="00FB7154" w:rsidP="00FB7154">
      <w:pPr>
        <w:ind w:firstLine="56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investidura;</w:t>
      </w:r>
    </w:p>
    <w:p w:rsidR="00FB7154" w:rsidRDefault="00FB7154" w:rsidP="00FB7154">
      <w:pPr>
        <w:ind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...</w:t>
      </w:r>
    </w:p>
    <w:p w:rsidR="00FB7154" w:rsidRDefault="00FB7154" w:rsidP="00FB7154">
      <w:pPr>
        <w:ind w:left="567" w:hanging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§ 3º - Entende-se por investidura, para os fins desta Lei, a alienação aos proprietários de imóveis lindeiros </w:t>
      </w:r>
      <w:r>
        <w:rPr>
          <w:rFonts w:ascii="Arial" w:hAnsi="Arial"/>
          <w:bCs/>
          <w:sz w:val="16"/>
          <w:szCs w:val="16"/>
        </w:rPr>
        <w:t>de área remanescente ou resultante de obra pública, área esta</w:t>
      </w:r>
      <w:r>
        <w:rPr>
          <w:rFonts w:ascii="Arial" w:hAnsi="Arial"/>
          <w:sz w:val="16"/>
          <w:szCs w:val="16"/>
        </w:rPr>
        <w:t xml:space="preserve"> que se tornar inaproveitável isoladamente, por preço nunca inferior ao da avaliação e desde que esse não ultrapasse a 50% (cinquenta por cento) do valor constante da alínea “a” do inciso II do art. 23 desta Lei.</w:t>
      </w:r>
    </w:p>
    <w:p w:rsidR="00FB7154" w:rsidRDefault="00FB7154" w:rsidP="00FB7154">
      <w:pPr>
        <w:ind w:firstLine="540"/>
        <w:jc w:val="both"/>
        <w:rPr>
          <w:rFonts w:ascii="Arial" w:hAnsi="Arial"/>
          <w:i/>
          <w:iCs/>
          <w:sz w:val="20"/>
          <w:szCs w:val="20"/>
        </w:rPr>
      </w:pPr>
    </w:p>
    <w:p w:rsidR="00FB7154" w:rsidRDefault="00FB7154" w:rsidP="00FB7154">
      <w:pPr>
        <w:ind w:firstLine="70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tramitação, sob tal enfoque.</w:t>
      </w:r>
    </w:p>
    <w:p w:rsidR="00DB4726" w:rsidRDefault="00DB4726" w:rsidP="00DB4726">
      <w:pPr>
        <w:ind w:firstLine="705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contudo, </w:t>
      </w:r>
      <w:r w:rsidR="003E047A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>o imóvel objeto de alienação tem valor que extrapola o limite previsto no § 3º do artigo 17 da Lei nº 8.666/93.</w:t>
      </w:r>
    </w:p>
    <w:p w:rsidR="00DB4726" w:rsidRDefault="00DB4726" w:rsidP="00DB47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Haja vista tal fato, a alienação direta ao interessado indicado no projeto de lei somente é possível se estiver caracterizado caso de </w:t>
      </w:r>
      <w:r>
        <w:rPr>
          <w:rFonts w:ascii="Arial" w:hAnsi="Arial"/>
          <w:b/>
          <w:sz w:val="20"/>
          <w:szCs w:val="20"/>
        </w:rPr>
        <w:t xml:space="preserve">inexigibilidade </w:t>
      </w:r>
      <w:r>
        <w:rPr>
          <w:rFonts w:ascii="Arial" w:hAnsi="Arial"/>
          <w:sz w:val="20"/>
          <w:szCs w:val="20"/>
        </w:rPr>
        <w:t>de licitação – competição inviável por força da localização do imóvel, que só pode interessar a um único lindeiro.</w:t>
      </w:r>
    </w:p>
    <w:p w:rsidR="00D070DC" w:rsidRDefault="00DB4726" w:rsidP="00DB47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 caso, não há nos autos elementos que evidenciem </w:t>
      </w:r>
      <w:r w:rsidR="003E047A">
        <w:rPr>
          <w:rFonts w:ascii="Arial" w:hAnsi="Arial"/>
          <w:sz w:val="20"/>
          <w:szCs w:val="20"/>
        </w:rPr>
        <w:t>de forma incontroversa a inviabilidade de</w:t>
      </w:r>
      <w:r>
        <w:rPr>
          <w:rFonts w:ascii="Arial" w:hAnsi="Arial"/>
          <w:sz w:val="20"/>
          <w:szCs w:val="20"/>
        </w:rPr>
        <w:t xml:space="preserve"> competição.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</w:t>
      </w:r>
      <w:r w:rsidR="003E047A">
        <w:rPr>
          <w:rFonts w:ascii="Arial" w:hAnsi="Arial"/>
          <w:sz w:val="20"/>
          <w:szCs w:val="20"/>
        </w:rPr>
        <w:t>Inclusive</w:t>
      </w:r>
      <w:r>
        <w:rPr>
          <w:rFonts w:ascii="Arial" w:hAnsi="Arial"/>
          <w:sz w:val="20"/>
          <w:szCs w:val="20"/>
        </w:rPr>
        <w:t>, vê-se</w:t>
      </w:r>
      <w:r w:rsidR="00FB7154">
        <w:rPr>
          <w:rFonts w:ascii="Arial" w:hAnsi="Arial"/>
          <w:sz w:val="20"/>
          <w:szCs w:val="20"/>
        </w:rPr>
        <w:t xml:space="preserve"> d</w:t>
      </w:r>
      <w:r w:rsidR="00FB7154">
        <w:rPr>
          <w:rFonts w:ascii="Arial" w:hAnsi="Arial" w:cs="Arial"/>
          <w:sz w:val="20"/>
          <w:szCs w:val="20"/>
        </w:rPr>
        <w:t xml:space="preserve">o processo administrativo apenso (nº 001.101148.11.9, fls. </w:t>
      </w:r>
      <w:r w:rsidR="0007653D">
        <w:rPr>
          <w:rFonts w:ascii="Arial" w:hAnsi="Arial" w:cs="Arial"/>
          <w:sz w:val="20"/>
          <w:szCs w:val="20"/>
        </w:rPr>
        <w:t xml:space="preserve">7, 30, 31, </w:t>
      </w:r>
      <w:r w:rsidR="00FB7154">
        <w:rPr>
          <w:rFonts w:ascii="Arial" w:hAnsi="Arial" w:cs="Arial"/>
          <w:sz w:val="20"/>
          <w:szCs w:val="20"/>
        </w:rPr>
        <w:t>41 e 72)</w:t>
      </w:r>
      <w:r>
        <w:rPr>
          <w:rFonts w:ascii="Arial" w:hAnsi="Arial" w:cs="Arial"/>
          <w:sz w:val="20"/>
          <w:szCs w:val="20"/>
        </w:rPr>
        <w:t xml:space="preserve"> que</w:t>
      </w:r>
      <w:r w:rsidR="00FB7154">
        <w:rPr>
          <w:rFonts w:ascii="Arial" w:hAnsi="Arial" w:cs="Arial"/>
          <w:sz w:val="20"/>
          <w:szCs w:val="20"/>
        </w:rPr>
        <w:t xml:space="preserve"> há outro proprietário lindeiro</w:t>
      </w:r>
      <w:r>
        <w:rPr>
          <w:rFonts w:ascii="Arial" w:hAnsi="Arial" w:cs="Arial"/>
          <w:sz w:val="20"/>
          <w:szCs w:val="20"/>
        </w:rPr>
        <w:t>,</w:t>
      </w:r>
      <w:r w:rsidR="00FB7154">
        <w:rPr>
          <w:rFonts w:ascii="Arial" w:hAnsi="Arial" w:cs="Arial"/>
          <w:sz w:val="20"/>
          <w:szCs w:val="20"/>
        </w:rPr>
        <w:t xml:space="preserve"> e não há manifestação do mesmo a respeito de interesse ou não na aquisição do bem. </w:t>
      </w:r>
    </w:p>
    <w:p w:rsidR="00FB7154" w:rsidRDefault="003E047A" w:rsidP="00FB7154">
      <w:pPr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 fato</w:t>
      </w:r>
      <w:r w:rsidR="00FB7154">
        <w:rPr>
          <w:rFonts w:ascii="Arial" w:hAnsi="Arial" w:cs="Arial"/>
          <w:sz w:val="20"/>
          <w:szCs w:val="20"/>
        </w:rPr>
        <w:t>, com a devida vênia, não permite alienação ao lindeiro indicado na proposição</w:t>
      </w:r>
      <w:r w:rsidR="00D070DC">
        <w:rPr>
          <w:rFonts w:ascii="Arial" w:hAnsi="Arial" w:cs="Arial"/>
          <w:sz w:val="20"/>
          <w:szCs w:val="20"/>
        </w:rPr>
        <w:t xml:space="preserve"> – há necessidade de assegurar-se a todos os eventuais interessados direito de acesso à disputa da investidura, </w:t>
      </w:r>
      <w:r w:rsidR="0007653D">
        <w:rPr>
          <w:rFonts w:ascii="Arial" w:hAnsi="Arial" w:cs="Arial"/>
          <w:sz w:val="20"/>
          <w:szCs w:val="20"/>
        </w:rPr>
        <w:t>em r</w:t>
      </w:r>
      <w:r w:rsidR="00205C9A">
        <w:rPr>
          <w:rFonts w:ascii="Arial" w:hAnsi="Arial" w:cs="Arial"/>
          <w:sz w:val="20"/>
          <w:szCs w:val="20"/>
        </w:rPr>
        <w:t>espeito ao princípio da impessoalidade</w:t>
      </w:r>
      <w:r w:rsidR="0007653D">
        <w:rPr>
          <w:rFonts w:ascii="Arial" w:hAnsi="Arial" w:cs="Arial"/>
          <w:sz w:val="20"/>
          <w:szCs w:val="20"/>
        </w:rPr>
        <w:t xml:space="preserve"> a que se sujeita</w:t>
      </w:r>
      <w:r w:rsidR="00D070DC">
        <w:rPr>
          <w:rFonts w:ascii="Arial" w:hAnsi="Arial" w:cs="Arial"/>
          <w:sz w:val="20"/>
          <w:szCs w:val="20"/>
        </w:rPr>
        <w:t xml:space="preserve"> a Administração</w:t>
      </w:r>
      <w:r w:rsidR="0007653D">
        <w:rPr>
          <w:rFonts w:ascii="Arial" w:hAnsi="Arial" w:cs="Arial"/>
          <w:sz w:val="20"/>
          <w:szCs w:val="20"/>
        </w:rPr>
        <w:t>.</w:t>
      </w:r>
    </w:p>
    <w:p w:rsidR="00FB7154" w:rsidRDefault="00FB7154" w:rsidP="00FB71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B7154" w:rsidRDefault="00FB7154" w:rsidP="00FB7154">
      <w:pPr>
        <w:jc w:val="both"/>
        <w:rPr>
          <w:rFonts w:ascii="Arial" w:hAnsi="Arial" w:cs="Arial"/>
          <w:sz w:val="20"/>
        </w:rPr>
      </w:pPr>
    </w:p>
    <w:p w:rsidR="00FB7154" w:rsidRDefault="00FB7154" w:rsidP="00FB7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FB7154" w:rsidRDefault="00FB7154" w:rsidP="00FB7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</w:t>
      </w:r>
      <w:r w:rsidR="00D070DC">
        <w:rPr>
          <w:rFonts w:ascii="Arial" w:hAnsi="Arial" w:cs="Arial"/>
          <w:sz w:val="20"/>
          <w:szCs w:val="20"/>
        </w:rPr>
        <w:t xml:space="preserve"> 01</w:t>
      </w:r>
      <w:r>
        <w:rPr>
          <w:rFonts w:ascii="Arial" w:hAnsi="Arial" w:cs="Arial"/>
          <w:sz w:val="20"/>
          <w:szCs w:val="20"/>
        </w:rPr>
        <w:t xml:space="preserve"> de </w:t>
      </w:r>
      <w:r w:rsidR="00D070DC">
        <w:rPr>
          <w:rFonts w:ascii="Arial" w:hAnsi="Arial" w:cs="Arial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embro de 2.016.</w:t>
      </w:r>
    </w:p>
    <w:p w:rsidR="00FB7154" w:rsidRDefault="00FB7154" w:rsidP="00FB7154">
      <w:pPr>
        <w:rPr>
          <w:rFonts w:ascii="Arial" w:hAnsi="Arial" w:cs="Arial"/>
          <w:sz w:val="20"/>
          <w:szCs w:val="20"/>
        </w:rPr>
      </w:pPr>
    </w:p>
    <w:p w:rsidR="00FB7154" w:rsidRDefault="00FB7154" w:rsidP="00FB7154">
      <w:pPr>
        <w:rPr>
          <w:rFonts w:ascii="Arial" w:hAnsi="Arial" w:cs="Arial"/>
          <w:sz w:val="20"/>
          <w:szCs w:val="20"/>
        </w:rPr>
      </w:pPr>
    </w:p>
    <w:p w:rsidR="00FB7154" w:rsidRDefault="00FB7154" w:rsidP="00FB7154">
      <w:pPr>
        <w:rPr>
          <w:rFonts w:ascii="Arial" w:hAnsi="Arial" w:cs="Arial"/>
        </w:rPr>
      </w:pPr>
    </w:p>
    <w:p w:rsidR="00FB7154" w:rsidRDefault="00FB7154" w:rsidP="00FB7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FB7154" w:rsidRDefault="00FB7154" w:rsidP="00FB71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FB7154" w:rsidRDefault="00FB7154" w:rsidP="00FB7154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54"/>
    <w:rsid w:val="0007653D"/>
    <w:rsid w:val="00205C9A"/>
    <w:rsid w:val="002A1D93"/>
    <w:rsid w:val="002F2727"/>
    <w:rsid w:val="003E047A"/>
    <w:rsid w:val="00AA1A00"/>
    <w:rsid w:val="00D070DC"/>
    <w:rsid w:val="00DB4726"/>
    <w:rsid w:val="00E1390E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57E82-EA89-49BE-B7E4-84FF9182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5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B715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B715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B7154"/>
    <w:pPr>
      <w:ind w:left="708" w:hanging="24"/>
      <w:jc w:val="both"/>
    </w:pPr>
    <w:rPr>
      <w:rFonts w:ascii="Arial" w:hAnsi="Arial"/>
      <w:i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7154"/>
    <w:rPr>
      <w:rFonts w:ascii="Arial" w:eastAsia="Times New Roman" w:hAnsi="Arial" w:cs="Times New Roman"/>
      <w:i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7154"/>
    <w:pPr>
      <w:ind w:firstLine="141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7154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7154"/>
    <w:pPr>
      <w:ind w:left="540" w:hanging="540"/>
      <w:jc w:val="both"/>
    </w:pPr>
    <w:rPr>
      <w:rFonts w:ascii="Arial" w:hAnsi="Arial"/>
      <w:i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7154"/>
    <w:rPr>
      <w:rFonts w:ascii="Arial" w:eastAsia="Times New Roman" w:hAnsi="Arial" w:cs="Times New Roman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2016-12-01T13:20:00Z</dcterms:created>
  <dcterms:modified xsi:type="dcterms:W3CDTF">2016-12-01T15:41:00Z</dcterms:modified>
</cp:coreProperties>
</file>