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D7" w:rsidRDefault="00C17AD7" w:rsidP="00C17AD7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C17AD7" w:rsidRDefault="00C17AD7" w:rsidP="00C17AD7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C17AD7" w:rsidRDefault="00C17AD7" w:rsidP="00C17AD7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04694B" w:rsidRDefault="0004694B" w:rsidP="0004694B">
      <w:pPr>
        <w:pStyle w:val="Ttulo1"/>
        <w:rPr>
          <w:rFonts w:ascii="Arial" w:hAnsi="Arial" w:cs="Arial"/>
          <w:sz w:val="20"/>
        </w:rPr>
      </w:pPr>
    </w:p>
    <w:p w:rsidR="00C17AD7" w:rsidRDefault="00C17AD7" w:rsidP="0004694B">
      <w:pPr>
        <w:pStyle w:val="Ttulo1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771</w:t>
      </w:r>
      <w:r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</w:t>
      </w:r>
    </w:p>
    <w:p w:rsidR="00C17AD7" w:rsidRDefault="00C17AD7" w:rsidP="00C17AD7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C17AD7" w:rsidRDefault="00C17AD7" w:rsidP="00C17AD7">
      <w:pPr>
        <w:ind w:left="453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</w:t>
      </w:r>
      <w:r>
        <w:rPr>
          <w:rFonts w:ascii="Arial" w:hAnsi="Arial" w:cs="Arial"/>
          <w:b/>
          <w:sz w:val="20"/>
          <w:szCs w:val="20"/>
        </w:rPr>
        <w:t>708</w:t>
      </w:r>
      <w:r>
        <w:rPr>
          <w:rFonts w:ascii="Arial" w:hAnsi="Arial" w:cs="Arial"/>
          <w:b/>
          <w:sz w:val="20"/>
          <w:szCs w:val="20"/>
        </w:rPr>
        <w:t>/15.</w:t>
      </w:r>
    </w:p>
    <w:p w:rsidR="00C17AD7" w:rsidRDefault="00C17AD7" w:rsidP="00C17AD7">
      <w:pPr>
        <w:ind w:left="453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PLCE Nº 10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</w:p>
    <w:p w:rsidR="00C17AD7" w:rsidRDefault="00C17AD7" w:rsidP="00C17AD7">
      <w:pPr>
        <w:ind w:left="4536"/>
        <w:rPr>
          <w:rFonts w:ascii="Arial" w:hAnsi="Arial" w:cs="Arial"/>
        </w:rPr>
      </w:pPr>
    </w:p>
    <w:p w:rsidR="00C17AD7" w:rsidRDefault="00C17AD7" w:rsidP="00C17AD7">
      <w:pPr>
        <w:pStyle w:val="Ttulo1"/>
        <w:ind w:left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:rsidR="00181AF6" w:rsidRPr="0040354A" w:rsidRDefault="00C17AD7" w:rsidP="00181AF6">
      <w:pPr>
        <w:pStyle w:val="Corpodetexto"/>
        <w:rPr>
          <w:rFonts w:cs="Arial"/>
          <w:sz w:val="20"/>
        </w:rPr>
      </w:pPr>
      <w:r>
        <w:rPr>
          <w:rFonts w:cs="Arial"/>
        </w:rPr>
        <w:tab/>
      </w:r>
      <w:r>
        <w:rPr>
          <w:rFonts w:cs="Arial"/>
          <w:sz w:val="20"/>
        </w:rPr>
        <w:t>É submetido a exame desta Procuradoria, para parecer prévio, o Projeto de Lei Complementar do Executivo em epígrafe,</w:t>
      </w:r>
      <w:r w:rsidR="00181AF6">
        <w:rPr>
          <w:rFonts w:cs="Arial"/>
          <w:sz w:val="20"/>
        </w:rPr>
        <w:t xml:space="preserve"> que altera a</w:t>
      </w:r>
      <w:r w:rsidR="00181AF6">
        <w:rPr>
          <w:rFonts w:cs="Arial"/>
          <w:sz w:val="20"/>
        </w:rPr>
        <w:t xml:space="preserve"> </w:t>
      </w:r>
      <w:r w:rsidR="00181AF6" w:rsidRPr="0040354A">
        <w:rPr>
          <w:rFonts w:cs="Arial"/>
          <w:sz w:val="20"/>
        </w:rPr>
        <w:t xml:space="preserve">Lei Complementar nº 07, de 07 de dezembro de 1973 – Código Tributário Municipal -, </w:t>
      </w:r>
      <w:r w:rsidR="00181AF6">
        <w:rPr>
          <w:rFonts w:cs="Arial"/>
          <w:sz w:val="20"/>
        </w:rPr>
        <w:t>estabelecendo multa pela falta de apresentação, ou apresentação incompleta, de documentos, livros e registros de instituições financeiras, a que se refere o artigo 6º da Lei Complementar nº 105/01.</w:t>
      </w:r>
    </w:p>
    <w:p w:rsidR="00C17AD7" w:rsidRDefault="00C17AD7" w:rsidP="00C17A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Constituição da República (artigo 30, inciso I, e 145, II) compete ao Município instituir e arrecadar os tributos de sua competência.</w:t>
      </w:r>
    </w:p>
    <w:p w:rsidR="00C17AD7" w:rsidRDefault="00C17AD7" w:rsidP="00C17A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declara a competência do Município para estabelecer suas leis e atos relativos ao interesse local e para instituir e arrecadar seus tributos, definindo que são tributos municipais os impostos, as taxas e as contribuições de melhoria instituídos por lei (arts. 8º, II, 9º, III e 107).</w:t>
      </w:r>
    </w:p>
    <w:p w:rsidR="00C17AD7" w:rsidRDefault="00C17AD7" w:rsidP="00C17AD7">
      <w:pPr>
        <w:pStyle w:val="Recuodecorpodetexto"/>
        <w:rPr>
          <w:rFonts w:cs="Arial"/>
          <w:sz w:val="20"/>
        </w:rPr>
      </w:pPr>
      <w:r>
        <w:rPr>
          <w:rFonts w:cs="Arial"/>
          <w:sz w:val="20"/>
        </w:rPr>
        <w:t>Na forma do que dispõe o Código Tributário Nacional, no artigo 6º, a atribuição constitucional de competência tributária compreende a competência legislativa plena.</w:t>
      </w:r>
    </w:p>
    <w:p w:rsidR="00C17AD7" w:rsidRDefault="00C17AD7" w:rsidP="00C17A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municipal, inexistindo óbice legal à tramitação.</w:t>
      </w:r>
    </w:p>
    <w:p w:rsidR="00C17AD7" w:rsidRDefault="00C17AD7" w:rsidP="00C17A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 que submeto à deliberação superior.</w:t>
      </w:r>
    </w:p>
    <w:p w:rsidR="00C17AD7" w:rsidRDefault="00C17AD7" w:rsidP="00C17A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1</w:t>
      </w:r>
      <w:r w:rsidR="00181AF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de </w:t>
      </w:r>
      <w:r w:rsidR="00181AF6">
        <w:rPr>
          <w:rFonts w:ascii="Arial" w:hAnsi="Arial" w:cs="Arial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embro de 2.01</w:t>
      </w:r>
      <w:r w:rsidR="00181AF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</w:p>
    <w:p w:rsidR="00C17AD7" w:rsidRDefault="00C17AD7" w:rsidP="00C17AD7">
      <w:pPr>
        <w:pStyle w:val="Cabealho"/>
        <w:tabs>
          <w:tab w:val="left" w:pos="708"/>
        </w:tabs>
        <w:rPr>
          <w:rFonts w:ascii="Arial" w:hAnsi="Arial" w:cs="Arial"/>
          <w:sz w:val="20"/>
        </w:rPr>
      </w:pPr>
    </w:p>
    <w:p w:rsidR="00C17AD7" w:rsidRDefault="00C17AD7" w:rsidP="00C17AD7">
      <w:pPr>
        <w:rPr>
          <w:rFonts w:ascii="Arial" w:hAnsi="Arial" w:cs="Arial"/>
        </w:rPr>
      </w:pPr>
    </w:p>
    <w:p w:rsidR="00C17AD7" w:rsidRDefault="00C17AD7" w:rsidP="00C17AD7">
      <w:pPr>
        <w:rPr>
          <w:rFonts w:ascii="Arial" w:hAnsi="Arial" w:cs="Arial"/>
        </w:rPr>
      </w:pPr>
    </w:p>
    <w:p w:rsidR="00C17AD7" w:rsidRDefault="00C17AD7" w:rsidP="00C17AD7">
      <w:pPr>
        <w:rPr>
          <w:rFonts w:ascii="Arial" w:hAnsi="Arial" w:cs="Arial"/>
        </w:rPr>
      </w:pPr>
    </w:p>
    <w:p w:rsidR="00C17AD7" w:rsidRDefault="00C17AD7" w:rsidP="00C17A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C17AD7" w:rsidRDefault="00C17AD7" w:rsidP="00C17A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Procurador-Geral-OAB/RS 18.594</w:t>
      </w:r>
    </w:p>
    <w:p w:rsidR="00C17AD7" w:rsidRDefault="00C17AD7" w:rsidP="00C17AD7">
      <w:pPr>
        <w:rPr>
          <w:rFonts w:cs="Arial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D7"/>
    <w:rsid w:val="0004694B"/>
    <w:rsid w:val="00181AF6"/>
    <w:rsid w:val="002A1D93"/>
    <w:rsid w:val="00C17AD7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5EF9E-1E68-4646-A915-84338581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AD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7AD7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7AD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C17AD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17A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17AD7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17AD7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17AD7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7AD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2016-12-15T19:29:00Z</dcterms:created>
  <dcterms:modified xsi:type="dcterms:W3CDTF">2016-12-15T19:35:00Z</dcterms:modified>
</cp:coreProperties>
</file>