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8C" w:rsidRDefault="00DA548C" w:rsidP="00DA548C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DA548C" w:rsidRDefault="00DA548C" w:rsidP="00DA548C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DA548C" w:rsidRDefault="00DA548C" w:rsidP="00DA548C">
      <w:pPr>
        <w:pStyle w:val="Ttulo1"/>
        <w:rPr>
          <w:rFonts w:ascii="Arial" w:hAnsi="Arial" w:cs="Arial"/>
          <w:sz w:val="20"/>
        </w:rPr>
      </w:pPr>
    </w:p>
    <w:p w:rsidR="00DA548C" w:rsidRDefault="00DA548C" w:rsidP="00DA548C">
      <w:pPr>
        <w:pStyle w:val="Ttulo1"/>
        <w:rPr>
          <w:rFonts w:ascii="Arial" w:hAnsi="Arial" w:cs="Arial"/>
          <w:sz w:val="20"/>
        </w:rPr>
      </w:pPr>
    </w:p>
    <w:p w:rsidR="00DA548C" w:rsidRDefault="00DA548C" w:rsidP="00DA548C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2B69BA">
        <w:rPr>
          <w:rFonts w:ascii="Arial" w:hAnsi="Arial" w:cs="Arial"/>
          <w:sz w:val="20"/>
        </w:rPr>
        <w:t>72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DA548C" w:rsidRDefault="00DA548C" w:rsidP="00DA548C">
      <w:pPr>
        <w:rPr>
          <w:rFonts w:ascii="Arial" w:hAnsi="Arial" w:cs="Arial"/>
          <w:sz w:val="20"/>
          <w:szCs w:val="20"/>
        </w:rPr>
      </w:pPr>
    </w:p>
    <w:p w:rsidR="00DA548C" w:rsidRDefault="00DA548C" w:rsidP="00DA548C">
      <w:pPr>
        <w:ind w:left="4536"/>
        <w:rPr>
          <w:rFonts w:ascii="Arial" w:hAnsi="Arial" w:cs="Arial"/>
          <w:b/>
          <w:sz w:val="20"/>
          <w:szCs w:val="20"/>
        </w:rPr>
      </w:pPr>
    </w:p>
    <w:p w:rsidR="00DA548C" w:rsidRDefault="00DA548C" w:rsidP="00DA548C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310/17.</w:t>
      </w:r>
    </w:p>
    <w:p w:rsidR="00DA548C" w:rsidRDefault="00DA548C" w:rsidP="00DA548C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15/17.</w:t>
      </w:r>
    </w:p>
    <w:p w:rsidR="00DA548C" w:rsidRDefault="00DA548C" w:rsidP="00DA548C">
      <w:pPr>
        <w:rPr>
          <w:rFonts w:ascii="Arial" w:hAnsi="Arial" w:cs="Arial"/>
        </w:rPr>
      </w:pPr>
    </w:p>
    <w:p w:rsidR="00DA548C" w:rsidRDefault="00DA548C" w:rsidP="00DA548C">
      <w:pPr>
        <w:jc w:val="both"/>
        <w:rPr>
          <w:rFonts w:ascii="Arial (W1)" w:hAnsi="Arial (W1)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Lei do Legislativo em epígrafe, que determina a utilização, preferencialmente, de energia solar para o funcionamento de semáforos no Município de Porto </w:t>
      </w:r>
      <w:r w:rsidR="00BF127E">
        <w:rPr>
          <w:rFonts w:ascii="Arial" w:hAnsi="Arial" w:cs="Arial"/>
          <w:sz w:val="20"/>
          <w:szCs w:val="20"/>
        </w:rPr>
        <w:t>Alegre.</w:t>
      </w:r>
    </w:p>
    <w:p w:rsidR="00DA548C" w:rsidRDefault="00DA548C" w:rsidP="00DA548C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>A Constituição da República dispõe competir aos Municípios legislar sobre assuntos de interesse local e suplementar a legislação federal e estadual (art. 30, incisos I e II).</w:t>
      </w:r>
    </w:p>
    <w:p w:rsidR="00DA548C" w:rsidRDefault="00DA548C" w:rsidP="00DA548C">
      <w:pPr>
        <w:pStyle w:val="Corpodetexto"/>
        <w:ind w:firstLine="708"/>
        <w:jc w:val="both"/>
        <w:rPr>
          <w:rFonts w:ascii="Arial (W1)" w:hAnsi="Arial (W1)" w:cs="Arial"/>
          <w:sz w:val="20"/>
        </w:rPr>
      </w:pPr>
      <w:r>
        <w:rPr>
          <w:rFonts w:ascii="Arial (W1)" w:hAnsi="Arial (W1)" w:cs="Arial"/>
          <w:sz w:val="20"/>
        </w:rPr>
        <w:t xml:space="preserve">A par disso, no artigo 23, define a competência destes para, conjuntamente com União e o Estado, proceder à proteção do meio ambiente. </w:t>
      </w:r>
    </w:p>
    <w:p w:rsidR="00DA548C" w:rsidRDefault="00DA548C" w:rsidP="00DA548C">
      <w:pPr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 w:cs="Arial"/>
          <w:sz w:val="20"/>
          <w:szCs w:val="20"/>
        </w:rPr>
        <w:tab/>
        <w:t>A Constituição do Estado do RGS declara a competência do Município para promover a proteção ambiental e exercer poder de polícia administrativa nas matérias de interesse local, inclusive no que respeita à proteção ao meio ambiente (artigo 13, incisos I e V).</w:t>
      </w:r>
    </w:p>
    <w:p w:rsidR="009A03F0" w:rsidRDefault="009A03F0" w:rsidP="009A03F0">
      <w:pPr>
        <w:pStyle w:val="Recuodecorpodetexto"/>
        <w:spacing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9A03F0">
        <w:rPr>
          <w:rFonts w:ascii="Arial" w:hAnsi="Arial" w:cs="Arial"/>
          <w:sz w:val="20"/>
          <w:szCs w:val="20"/>
        </w:rPr>
        <w:t xml:space="preserve">O Código Nacional de Trânsito declara que o Sistema Nacional de Trânsito é integrado pelos órgãos e entidades executivos de trânsito da União, Estados e </w:t>
      </w:r>
      <w:r w:rsidR="00BF127E" w:rsidRPr="009A03F0">
        <w:rPr>
          <w:rFonts w:ascii="Arial" w:hAnsi="Arial" w:cs="Arial"/>
          <w:sz w:val="20"/>
          <w:szCs w:val="20"/>
        </w:rPr>
        <w:t>Municípios, e</w:t>
      </w:r>
      <w:r w:rsidRPr="009A03F0">
        <w:rPr>
          <w:rFonts w:ascii="Arial" w:hAnsi="Arial" w:cs="Arial"/>
          <w:sz w:val="20"/>
          <w:szCs w:val="20"/>
        </w:rPr>
        <w:t xml:space="preserve"> declara competir a estes cumprir e fazer cumprir a legislação e as normas de trânsito, e implantar, manter e operar o sistema de sinalização e os dispositivos e os equipamentos de controle viário no âmbito da respectiva circunscrição (art. 24).</w:t>
      </w:r>
    </w:p>
    <w:p w:rsidR="00DA548C" w:rsidRPr="00BF127E" w:rsidRDefault="00DA548C" w:rsidP="00BF127E">
      <w:pPr>
        <w:pStyle w:val="Recuodecorpodetexto"/>
        <w:spacing w:after="0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 (W1)" w:hAnsi="Arial (W1)" w:cs="Arial"/>
          <w:sz w:val="20"/>
        </w:rPr>
        <w:t xml:space="preserve">A Lei Orgânica do Município de Porto Alegre estatui competir a este prover tudo quanto concerne ao interesse local, dispor sobre a defesa da flora e da fauna e o controle da poluição ambiental, bem como promover a preservação do meio </w:t>
      </w:r>
      <w:r w:rsidR="00BF127E">
        <w:rPr>
          <w:rFonts w:ascii="Arial (W1)" w:hAnsi="Arial (W1)" w:cs="Arial"/>
          <w:sz w:val="20"/>
        </w:rPr>
        <w:t>ambiente</w:t>
      </w:r>
      <w:r w:rsidR="00BF127E" w:rsidRPr="00BF127E">
        <w:rPr>
          <w:rFonts w:ascii="Arial" w:hAnsi="Arial" w:cs="Arial"/>
          <w:sz w:val="20"/>
          <w:szCs w:val="20"/>
        </w:rPr>
        <w:t>, e sinalizar as vias urbanas e as estradas municipais (arts. 8º, inciso XV, e</w:t>
      </w:r>
      <w:r w:rsidRPr="00BF127E">
        <w:rPr>
          <w:rFonts w:ascii="Arial" w:hAnsi="Arial" w:cs="Arial"/>
          <w:sz w:val="20"/>
          <w:szCs w:val="20"/>
        </w:rPr>
        <w:t xml:space="preserve"> 9º, inciso II e I</w:t>
      </w:r>
      <w:r w:rsidR="00BF127E" w:rsidRPr="00BF127E">
        <w:rPr>
          <w:rFonts w:ascii="Arial" w:hAnsi="Arial" w:cs="Arial"/>
          <w:sz w:val="20"/>
          <w:szCs w:val="20"/>
        </w:rPr>
        <w:t>II</w:t>
      </w:r>
      <w:r w:rsidRPr="00BF127E">
        <w:rPr>
          <w:rFonts w:ascii="Arial" w:hAnsi="Arial" w:cs="Arial"/>
          <w:sz w:val="20"/>
          <w:szCs w:val="20"/>
        </w:rPr>
        <w:t xml:space="preserve"> e 201).</w:t>
      </w:r>
    </w:p>
    <w:p w:rsidR="00B13BCF" w:rsidRPr="00BF127E" w:rsidRDefault="00DA548C" w:rsidP="00BF127E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BF127E">
        <w:rPr>
          <w:rFonts w:ascii="Arial" w:hAnsi="Arial" w:cs="Arial"/>
          <w:sz w:val="20"/>
          <w:szCs w:val="20"/>
        </w:rPr>
        <w:tab/>
      </w:r>
      <w:r w:rsidR="00BF127E">
        <w:rPr>
          <w:rFonts w:ascii="Arial" w:hAnsi="Arial" w:cs="Arial"/>
          <w:sz w:val="20"/>
          <w:szCs w:val="20"/>
        </w:rPr>
        <w:t xml:space="preserve">A matéria objeto da proposição se insere no âmbito de competência municipal e não confronta com a legislação federal que a regula, inexistindo óbice jurídico à tramitação. </w:t>
      </w:r>
    </w:p>
    <w:p w:rsidR="00DA548C" w:rsidRDefault="00DA548C" w:rsidP="00BF127E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DA548C" w:rsidRDefault="00DA548C" w:rsidP="00BF127E">
      <w:pPr>
        <w:pStyle w:val="Corpodetexto"/>
        <w:ind w:firstLine="708"/>
        <w:jc w:val="both"/>
        <w:rPr>
          <w:i/>
          <w:sz w:val="20"/>
        </w:rPr>
      </w:pPr>
    </w:p>
    <w:p w:rsidR="00DA548C" w:rsidRDefault="00DA548C" w:rsidP="00BF127E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A548C" w:rsidRDefault="00DA548C" w:rsidP="00DA548C">
      <w:pPr>
        <w:pStyle w:val="Corpodetexto"/>
        <w:ind w:right="-288" w:firstLine="708"/>
        <w:rPr>
          <w:sz w:val="20"/>
        </w:rPr>
      </w:pPr>
      <w:r>
        <w:rPr>
          <w:sz w:val="20"/>
        </w:rPr>
        <w:t xml:space="preserve">Em </w:t>
      </w:r>
      <w:r w:rsidR="00BF127E">
        <w:rPr>
          <w:sz w:val="20"/>
        </w:rPr>
        <w:t>02</w:t>
      </w:r>
      <w:r>
        <w:rPr>
          <w:sz w:val="20"/>
        </w:rPr>
        <w:t xml:space="preserve"> de </w:t>
      </w:r>
      <w:r w:rsidR="00BF127E">
        <w:rPr>
          <w:sz w:val="20"/>
        </w:rPr>
        <w:t>março</w:t>
      </w:r>
      <w:r>
        <w:rPr>
          <w:sz w:val="20"/>
        </w:rPr>
        <w:t xml:space="preserve"> de 2.01</w:t>
      </w:r>
      <w:r w:rsidR="00BF127E">
        <w:rPr>
          <w:sz w:val="20"/>
        </w:rPr>
        <w:t>7</w:t>
      </w:r>
      <w:r>
        <w:rPr>
          <w:sz w:val="20"/>
        </w:rPr>
        <w:t>.</w:t>
      </w:r>
    </w:p>
    <w:p w:rsidR="00DA548C" w:rsidRDefault="00DA548C" w:rsidP="00DA548C">
      <w:pPr>
        <w:pStyle w:val="Corpodetexto"/>
        <w:ind w:firstLine="1418"/>
        <w:rPr>
          <w:sz w:val="20"/>
        </w:rPr>
      </w:pPr>
    </w:p>
    <w:p w:rsidR="00DA548C" w:rsidRDefault="00DA548C" w:rsidP="00DA548C">
      <w:pPr>
        <w:pStyle w:val="Corpodetexto"/>
        <w:ind w:firstLine="1418"/>
        <w:rPr>
          <w:i/>
          <w:sz w:val="20"/>
        </w:rPr>
      </w:pPr>
    </w:p>
    <w:p w:rsidR="00DA548C" w:rsidRDefault="00DA548C" w:rsidP="00DA548C">
      <w:pPr>
        <w:pStyle w:val="Corpodetexto"/>
        <w:ind w:firstLine="1418"/>
        <w:rPr>
          <w:i/>
          <w:sz w:val="20"/>
        </w:rPr>
      </w:pPr>
    </w:p>
    <w:p w:rsidR="00DA548C" w:rsidRDefault="00DA548C" w:rsidP="00DA548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DA548C" w:rsidRDefault="00DA548C" w:rsidP="00DA548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A548C" w:rsidRDefault="00DA548C" w:rsidP="00DA548C">
      <w:pPr>
        <w:pStyle w:val="Corpodetexto"/>
        <w:ind w:firstLine="1418"/>
        <w:rPr>
          <w:sz w:val="20"/>
        </w:rPr>
      </w:pPr>
    </w:p>
    <w:p w:rsidR="00DA548C" w:rsidRDefault="00DA548C" w:rsidP="00DA548C">
      <w:pPr>
        <w:pStyle w:val="Corpodetexto"/>
        <w:ind w:firstLine="708"/>
      </w:pPr>
    </w:p>
    <w:p w:rsidR="00DA548C" w:rsidRDefault="00DA548C" w:rsidP="00DA548C">
      <w:pPr>
        <w:rPr>
          <w:rFonts w:ascii="Arial" w:hAnsi="Arial" w:cs="Arial"/>
          <w:sz w:val="20"/>
          <w:szCs w:val="20"/>
        </w:rPr>
      </w:pPr>
    </w:p>
    <w:p w:rsidR="00DA548C" w:rsidRDefault="00DA548C" w:rsidP="00DA548C">
      <w:pPr>
        <w:rPr>
          <w:rFonts w:ascii="Arial" w:hAnsi="Arial" w:cs="Arial"/>
          <w:sz w:val="20"/>
          <w:szCs w:val="20"/>
        </w:rPr>
      </w:pPr>
    </w:p>
    <w:p w:rsidR="00DA548C" w:rsidRDefault="00DA548C" w:rsidP="00DA548C"/>
    <w:p w:rsidR="00DA548C" w:rsidRDefault="00DA548C" w:rsidP="00DA548C"/>
    <w:p w:rsidR="00DA548C" w:rsidRDefault="00DA548C" w:rsidP="00DA548C"/>
    <w:p w:rsidR="00E35ACC" w:rsidRDefault="00E35ACC"/>
    <w:sectPr w:rsidR="00E35ACC" w:rsidSect="00BF127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8C"/>
    <w:rsid w:val="00133799"/>
    <w:rsid w:val="002B69BA"/>
    <w:rsid w:val="009A03F0"/>
    <w:rsid w:val="00B13BCF"/>
    <w:rsid w:val="00BF127E"/>
    <w:rsid w:val="00DA548C"/>
    <w:rsid w:val="00E3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173E6-8921-41BE-866D-5DF550B0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548C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548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DA548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A548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A548C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A548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13BC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13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2017-03-02T12:53:00Z</dcterms:created>
  <dcterms:modified xsi:type="dcterms:W3CDTF">2017-03-02T13:48:00Z</dcterms:modified>
</cp:coreProperties>
</file>