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3E" w:rsidRPr="00AC0EDB" w:rsidRDefault="006B3F3E" w:rsidP="006B3F3E">
      <w:pPr>
        <w:pStyle w:val="Ttulo"/>
        <w:rPr>
          <w:rFonts w:cs="Arial"/>
          <w:b/>
          <w:sz w:val="22"/>
          <w:szCs w:val="22"/>
        </w:rPr>
      </w:pPr>
      <w:r w:rsidRPr="00AC0EDB">
        <w:rPr>
          <w:rFonts w:cs="Arial"/>
          <w:b/>
          <w:sz w:val="22"/>
          <w:szCs w:val="22"/>
        </w:rPr>
        <w:t>CÂMARA MUNICIPAL DE PORTO ALEGRE</w:t>
      </w:r>
    </w:p>
    <w:p w:rsidR="006B3F3E" w:rsidRPr="00AC0EDB" w:rsidRDefault="006B3F3E" w:rsidP="006B3F3E">
      <w:pPr>
        <w:pStyle w:val="Subttulo"/>
        <w:rPr>
          <w:rFonts w:cs="Arial"/>
          <w:sz w:val="22"/>
          <w:szCs w:val="22"/>
        </w:rPr>
      </w:pPr>
      <w:r w:rsidRPr="00AC0EDB">
        <w:rPr>
          <w:rFonts w:cs="Arial"/>
          <w:sz w:val="22"/>
          <w:szCs w:val="22"/>
        </w:rPr>
        <w:t>PROCURADORIA</w:t>
      </w:r>
    </w:p>
    <w:p w:rsidR="006B3F3E" w:rsidRPr="00AC0EDB" w:rsidRDefault="006B3F3E" w:rsidP="006B3F3E">
      <w:pPr>
        <w:rPr>
          <w:rFonts w:cs="Arial"/>
          <w:b/>
          <w:sz w:val="22"/>
          <w:szCs w:val="22"/>
        </w:rPr>
      </w:pPr>
    </w:p>
    <w:p w:rsidR="006B3F3E" w:rsidRPr="00AC0EDB" w:rsidRDefault="00821368" w:rsidP="006B3F3E">
      <w:pPr>
        <w:rPr>
          <w:rFonts w:cs="Arial"/>
          <w:b/>
          <w:sz w:val="22"/>
          <w:szCs w:val="22"/>
        </w:rPr>
      </w:pPr>
      <w:r w:rsidRPr="00AC0EDB">
        <w:rPr>
          <w:rFonts w:cs="Arial"/>
          <w:b/>
          <w:sz w:val="22"/>
          <w:szCs w:val="22"/>
        </w:rPr>
        <w:t xml:space="preserve">PARECER Nº </w:t>
      </w:r>
      <w:r w:rsidR="008410D1">
        <w:rPr>
          <w:rFonts w:cs="Arial"/>
          <w:b/>
          <w:sz w:val="22"/>
          <w:szCs w:val="22"/>
        </w:rPr>
        <w:t>222</w:t>
      </w:r>
      <w:r w:rsidRPr="00AC0EDB">
        <w:rPr>
          <w:rFonts w:cs="Arial"/>
          <w:b/>
          <w:sz w:val="22"/>
          <w:szCs w:val="22"/>
        </w:rPr>
        <w:t>/17</w:t>
      </w:r>
      <w:r w:rsidR="006B3F3E" w:rsidRPr="00AC0EDB">
        <w:rPr>
          <w:rFonts w:cs="Arial"/>
          <w:b/>
          <w:sz w:val="22"/>
          <w:szCs w:val="22"/>
        </w:rPr>
        <w:t>.</w:t>
      </w:r>
    </w:p>
    <w:p w:rsidR="006B3F3E" w:rsidRPr="00AC0EDB" w:rsidRDefault="006B3F3E" w:rsidP="006B3F3E">
      <w:pPr>
        <w:rPr>
          <w:rFonts w:cs="Arial"/>
          <w:b/>
          <w:sz w:val="22"/>
          <w:szCs w:val="22"/>
        </w:rPr>
      </w:pPr>
    </w:p>
    <w:p w:rsidR="006B3F3E" w:rsidRPr="00AC0EDB" w:rsidRDefault="006B3F3E" w:rsidP="006B3F3E">
      <w:pPr>
        <w:jc w:val="center"/>
        <w:rPr>
          <w:rFonts w:cs="Arial"/>
          <w:b/>
          <w:sz w:val="22"/>
          <w:szCs w:val="22"/>
        </w:rPr>
      </w:pPr>
    </w:p>
    <w:p w:rsidR="006B3F3E" w:rsidRPr="00AC0EDB" w:rsidRDefault="006B3F3E" w:rsidP="006B3F3E">
      <w:pPr>
        <w:ind w:left="2832"/>
        <w:rPr>
          <w:rFonts w:cs="Arial"/>
          <w:b/>
          <w:sz w:val="22"/>
          <w:szCs w:val="22"/>
        </w:rPr>
      </w:pPr>
    </w:p>
    <w:p w:rsidR="006B3F3E" w:rsidRPr="00AC0EDB" w:rsidRDefault="00821368" w:rsidP="006B3F3E">
      <w:pPr>
        <w:pStyle w:val="Ttulo2"/>
        <w:ind w:left="4395"/>
        <w:rPr>
          <w:rFonts w:cs="Arial"/>
          <w:sz w:val="22"/>
          <w:szCs w:val="22"/>
        </w:rPr>
      </w:pPr>
      <w:r w:rsidRPr="00AC0EDB">
        <w:rPr>
          <w:rFonts w:cs="Arial"/>
          <w:sz w:val="22"/>
          <w:szCs w:val="22"/>
        </w:rPr>
        <w:t>PROCESSO Nº</w:t>
      </w:r>
      <w:r w:rsidR="00DE6781" w:rsidRPr="00AC0EDB">
        <w:rPr>
          <w:rFonts w:cs="Arial"/>
          <w:sz w:val="22"/>
          <w:szCs w:val="22"/>
        </w:rPr>
        <w:t xml:space="preserve"> 956</w:t>
      </w:r>
      <w:r w:rsidRPr="00AC0EDB">
        <w:rPr>
          <w:rFonts w:cs="Arial"/>
          <w:sz w:val="22"/>
          <w:szCs w:val="22"/>
        </w:rPr>
        <w:t xml:space="preserve"> /17</w:t>
      </w:r>
      <w:r w:rsidR="006B3F3E" w:rsidRPr="00AC0EDB">
        <w:rPr>
          <w:rFonts w:cs="Arial"/>
          <w:sz w:val="22"/>
          <w:szCs w:val="22"/>
        </w:rPr>
        <w:t>.</w:t>
      </w:r>
    </w:p>
    <w:p w:rsidR="006B3F3E" w:rsidRPr="00AC0EDB" w:rsidRDefault="00DE6781" w:rsidP="006B3F3E">
      <w:pPr>
        <w:ind w:left="4395"/>
        <w:rPr>
          <w:rFonts w:cs="Arial"/>
          <w:b/>
          <w:sz w:val="22"/>
          <w:szCs w:val="22"/>
        </w:rPr>
      </w:pPr>
      <w:r w:rsidRPr="00AC0EDB">
        <w:rPr>
          <w:rFonts w:cs="Arial"/>
          <w:b/>
          <w:sz w:val="22"/>
          <w:szCs w:val="22"/>
        </w:rPr>
        <w:t xml:space="preserve">PLL </w:t>
      </w:r>
      <w:r w:rsidR="00821368" w:rsidRPr="00AC0EDB">
        <w:rPr>
          <w:rFonts w:cs="Arial"/>
          <w:b/>
          <w:sz w:val="22"/>
          <w:szCs w:val="22"/>
        </w:rPr>
        <w:t xml:space="preserve">Nº </w:t>
      </w:r>
      <w:r w:rsidRPr="00AC0EDB">
        <w:rPr>
          <w:rFonts w:cs="Arial"/>
          <w:b/>
          <w:sz w:val="22"/>
          <w:szCs w:val="22"/>
        </w:rPr>
        <w:t>102</w:t>
      </w:r>
      <w:r w:rsidR="00821368" w:rsidRPr="00AC0EDB">
        <w:rPr>
          <w:rFonts w:cs="Arial"/>
          <w:b/>
          <w:sz w:val="22"/>
          <w:szCs w:val="22"/>
        </w:rPr>
        <w:t>/17</w:t>
      </w:r>
      <w:r w:rsidR="006B3F3E" w:rsidRPr="00AC0EDB">
        <w:rPr>
          <w:rFonts w:cs="Arial"/>
          <w:b/>
          <w:sz w:val="22"/>
          <w:szCs w:val="22"/>
        </w:rPr>
        <w:t>.</w:t>
      </w:r>
    </w:p>
    <w:p w:rsidR="00BC2F1A" w:rsidRDefault="00BC2F1A" w:rsidP="006B3F3E">
      <w:pPr>
        <w:pStyle w:val="Corpodetexto2"/>
        <w:ind w:firstLine="708"/>
        <w:rPr>
          <w:sz w:val="22"/>
          <w:szCs w:val="22"/>
        </w:rPr>
      </w:pPr>
    </w:p>
    <w:p w:rsidR="00AC0EDB" w:rsidRPr="00AC0EDB" w:rsidRDefault="00AC0EDB" w:rsidP="006B3F3E">
      <w:pPr>
        <w:pStyle w:val="Corpodetexto2"/>
        <w:ind w:firstLine="708"/>
        <w:rPr>
          <w:b/>
          <w:sz w:val="22"/>
          <w:szCs w:val="22"/>
        </w:rPr>
      </w:pPr>
      <w:r w:rsidRPr="00AC0EDB">
        <w:rPr>
          <w:b/>
          <w:sz w:val="22"/>
          <w:szCs w:val="22"/>
        </w:rPr>
        <w:t>PARECER PRÉVIO</w:t>
      </w:r>
    </w:p>
    <w:p w:rsidR="00BC2F1A" w:rsidRPr="00AC0EDB" w:rsidRDefault="00BC2F1A" w:rsidP="006B3F3E">
      <w:pPr>
        <w:pStyle w:val="Corpodetexto2"/>
        <w:ind w:firstLine="708"/>
        <w:rPr>
          <w:sz w:val="22"/>
          <w:szCs w:val="22"/>
        </w:rPr>
      </w:pPr>
    </w:p>
    <w:p w:rsidR="00BC2F1A" w:rsidRPr="00AC0EDB" w:rsidRDefault="00BC2F1A" w:rsidP="006B3F3E">
      <w:pPr>
        <w:pStyle w:val="Corpodetexto2"/>
        <w:ind w:firstLine="708"/>
        <w:rPr>
          <w:sz w:val="22"/>
          <w:szCs w:val="22"/>
        </w:rPr>
      </w:pPr>
    </w:p>
    <w:p w:rsidR="006B3F3E" w:rsidRPr="00AC0EDB" w:rsidRDefault="006B3F3E" w:rsidP="00AC0EDB">
      <w:pPr>
        <w:pStyle w:val="Corpodetexto2"/>
        <w:spacing w:line="360" w:lineRule="auto"/>
        <w:ind w:firstLine="851"/>
        <w:rPr>
          <w:sz w:val="22"/>
          <w:szCs w:val="22"/>
        </w:rPr>
      </w:pPr>
      <w:r w:rsidRPr="00AC0EDB">
        <w:rPr>
          <w:sz w:val="22"/>
          <w:szCs w:val="22"/>
        </w:rPr>
        <w:t xml:space="preserve">É submetido a exame desta Procuradoria, para parecer prévio, o Projeto de Lei do </w:t>
      </w:r>
      <w:r w:rsidR="00821368" w:rsidRPr="00AC0EDB">
        <w:rPr>
          <w:sz w:val="22"/>
          <w:szCs w:val="22"/>
        </w:rPr>
        <w:t>Legislativo</w:t>
      </w:r>
      <w:r w:rsidR="00AC0EDB">
        <w:rPr>
          <w:sz w:val="22"/>
          <w:szCs w:val="22"/>
        </w:rPr>
        <w:t>,</w:t>
      </w:r>
      <w:r w:rsidR="00821368" w:rsidRPr="00AC0EDB">
        <w:rPr>
          <w:sz w:val="22"/>
          <w:szCs w:val="22"/>
        </w:rPr>
        <w:t xml:space="preserve"> o qual</w:t>
      </w:r>
      <w:r w:rsidR="00BC2F1A" w:rsidRPr="00AC0EDB">
        <w:rPr>
          <w:sz w:val="22"/>
          <w:szCs w:val="22"/>
        </w:rPr>
        <w:t xml:space="preserve"> institui</w:t>
      </w:r>
      <w:r w:rsidR="00821368" w:rsidRPr="00AC0EDB">
        <w:rPr>
          <w:sz w:val="22"/>
          <w:szCs w:val="22"/>
        </w:rPr>
        <w:t xml:space="preserve"> homenagem ao</w:t>
      </w:r>
      <w:r w:rsidR="00144F81" w:rsidRPr="00AC0EDB">
        <w:rPr>
          <w:sz w:val="22"/>
          <w:szCs w:val="22"/>
        </w:rPr>
        <w:t xml:space="preserve"> centenário da Fundação Rotária e aos 245 (duzentos e quarenta e cinco) anos do Municí</w:t>
      </w:r>
      <w:r w:rsidR="008410D1">
        <w:rPr>
          <w:sz w:val="22"/>
          <w:szCs w:val="22"/>
        </w:rPr>
        <w:t>pio de Porto Alegre com a construção de um relógio solar no Parque Germânia</w:t>
      </w:r>
      <w:r w:rsidRPr="00AC0EDB">
        <w:rPr>
          <w:sz w:val="22"/>
          <w:szCs w:val="22"/>
        </w:rPr>
        <w:t>.</w:t>
      </w:r>
    </w:p>
    <w:p w:rsidR="00821368" w:rsidRPr="00AC0EDB" w:rsidRDefault="00821368" w:rsidP="00AC0ED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</w:p>
    <w:p w:rsidR="006B3F3E" w:rsidRPr="00AC0EDB" w:rsidRDefault="00821368" w:rsidP="00AC0ED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  <w:r w:rsidRPr="00AC0EDB">
        <w:rPr>
          <w:sz w:val="22"/>
          <w:szCs w:val="22"/>
        </w:rPr>
        <w:t>Segundo</w:t>
      </w:r>
      <w:r w:rsidR="00377F4A">
        <w:rPr>
          <w:sz w:val="22"/>
          <w:szCs w:val="22"/>
        </w:rPr>
        <w:t xml:space="preserve"> dispõe Constituição F</w:t>
      </w:r>
      <w:r w:rsidR="00AC0EDB">
        <w:rPr>
          <w:sz w:val="22"/>
          <w:szCs w:val="22"/>
        </w:rPr>
        <w:t>ederal de 1988</w:t>
      </w:r>
      <w:r w:rsidR="00377F4A">
        <w:rPr>
          <w:sz w:val="22"/>
          <w:szCs w:val="22"/>
        </w:rPr>
        <w:t xml:space="preserve"> no art. 30, inciso I</w:t>
      </w:r>
      <w:r w:rsidR="00AC0EDB">
        <w:rPr>
          <w:sz w:val="22"/>
          <w:szCs w:val="22"/>
        </w:rPr>
        <w:t>, é de</w:t>
      </w:r>
      <w:r w:rsidR="006B3F3E" w:rsidRPr="00AC0EDB">
        <w:rPr>
          <w:sz w:val="22"/>
          <w:szCs w:val="22"/>
        </w:rPr>
        <w:t xml:space="preserve"> competência </w:t>
      </w:r>
      <w:proofErr w:type="gramStart"/>
      <w:r w:rsidR="006B3F3E" w:rsidRPr="00AC0EDB">
        <w:rPr>
          <w:sz w:val="22"/>
          <w:szCs w:val="22"/>
        </w:rPr>
        <w:t>dos</w:t>
      </w:r>
      <w:proofErr w:type="gramEnd"/>
      <w:r w:rsidR="006B3F3E" w:rsidRPr="00AC0EDB">
        <w:rPr>
          <w:sz w:val="22"/>
          <w:szCs w:val="22"/>
        </w:rPr>
        <w:t xml:space="preserve"> Municípios legislar sobre assuntos de int</w:t>
      </w:r>
      <w:r w:rsidR="00377F4A">
        <w:rPr>
          <w:sz w:val="22"/>
          <w:szCs w:val="22"/>
        </w:rPr>
        <w:t>eresse local</w:t>
      </w:r>
      <w:r w:rsidR="006B3F3E" w:rsidRPr="00AC0EDB">
        <w:rPr>
          <w:sz w:val="22"/>
          <w:szCs w:val="22"/>
        </w:rPr>
        <w:t>.</w:t>
      </w:r>
    </w:p>
    <w:p w:rsidR="00821368" w:rsidRPr="00AC0EDB" w:rsidRDefault="006B3F3E" w:rsidP="00AC0EDB">
      <w:pPr>
        <w:pStyle w:val="Corpodetexto2"/>
        <w:spacing w:line="360" w:lineRule="auto"/>
        <w:ind w:firstLine="851"/>
        <w:rPr>
          <w:sz w:val="22"/>
          <w:szCs w:val="22"/>
        </w:rPr>
      </w:pPr>
      <w:r w:rsidRPr="00AC0EDB">
        <w:rPr>
          <w:sz w:val="22"/>
          <w:szCs w:val="22"/>
        </w:rPr>
        <w:tab/>
      </w:r>
    </w:p>
    <w:p w:rsidR="006B3F3E" w:rsidRPr="00AC0EDB" w:rsidRDefault="006B3F3E" w:rsidP="00AC0EDB">
      <w:pPr>
        <w:pStyle w:val="Corpodetexto2"/>
        <w:spacing w:line="360" w:lineRule="auto"/>
        <w:ind w:firstLine="851"/>
        <w:rPr>
          <w:sz w:val="22"/>
          <w:szCs w:val="22"/>
        </w:rPr>
      </w:pPr>
      <w:r w:rsidRPr="00AC0EDB">
        <w:rPr>
          <w:sz w:val="22"/>
          <w:szCs w:val="22"/>
        </w:rPr>
        <w:t>A Lei Orgânica do Município de Porto Alegre, por sua vez, declara</w:t>
      </w:r>
      <w:r w:rsidR="00AB29AA">
        <w:rPr>
          <w:sz w:val="22"/>
          <w:szCs w:val="22"/>
        </w:rPr>
        <w:t xml:space="preserve"> que compete</w:t>
      </w:r>
      <w:r w:rsidR="00377F4A">
        <w:rPr>
          <w:sz w:val="22"/>
          <w:szCs w:val="22"/>
        </w:rPr>
        <w:t xml:space="preserve"> ao Ente Municipal prover tudo</w:t>
      </w:r>
      <w:r w:rsidRPr="00AC0EDB">
        <w:rPr>
          <w:sz w:val="22"/>
          <w:szCs w:val="22"/>
        </w:rPr>
        <w:t xml:space="preserve"> concerne</w:t>
      </w:r>
      <w:r w:rsidR="00377F4A">
        <w:rPr>
          <w:sz w:val="22"/>
          <w:szCs w:val="22"/>
        </w:rPr>
        <w:t>nte</w:t>
      </w:r>
      <w:r w:rsidRPr="00AC0EDB">
        <w:rPr>
          <w:sz w:val="22"/>
          <w:szCs w:val="22"/>
        </w:rPr>
        <w:t xml:space="preserve"> ao interesse local e estabelecer suas leis e atos relativos aos assuntos de interesse local (arts. 9º, incisos II e III).</w:t>
      </w:r>
    </w:p>
    <w:p w:rsidR="00821368" w:rsidRPr="00AC0EDB" w:rsidRDefault="006B3F3E" w:rsidP="00AC0EDB">
      <w:pPr>
        <w:spacing w:line="360" w:lineRule="auto"/>
        <w:ind w:firstLine="851"/>
        <w:jc w:val="both"/>
        <w:rPr>
          <w:sz w:val="22"/>
          <w:szCs w:val="22"/>
        </w:rPr>
      </w:pPr>
      <w:r w:rsidRPr="00AC0EDB">
        <w:rPr>
          <w:sz w:val="22"/>
          <w:szCs w:val="22"/>
        </w:rPr>
        <w:tab/>
      </w:r>
    </w:p>
    <w:p w:rsidR="006B3F3E" w:rsidRPr="00AC0EDB" w:rsidRDefault="00AB29AA" w:rsidP="00AC0EDB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Portanto, a</w:t>
      </w:r>
      <w:r w:rsidR="006B3F3E" w:rsidRPr="00AC0EDB">
        <w:rPr>
          <w:sz w:val="22"/>
          <w:szCs w:val="22"/>
        </w:rPr>
        <w:t xml:space="preserve"> matéria objeto da proposição se insere no âmbito de competência municipal, inexistindo óbice jurídico</w:t>
      </w:r>
      <w:r w:rsidR="00AC0EDB">
        <w:rPr>
          <w:sz w:val="22"/>
          <w:szCs w:val="22"/>
        </w:rPr>
        <w:t xml:space="preserve"> à sua tramitação</w:t>
      </w:r>
      <w:r w:rsidR="006B3F3E" w:rsidRPr="00AC0EDB">
        <w:rPr>
          <w:sz w:val="22"/>
          <w:szCs w:val="22"/>
        </w:rPr>
        <w:t>.</w:t>
      </w:r>
    </w:p>
    <w:p w:rsidR="00821368" w:rsidRPr="00AC0EDB" w:rsidRDefault="00821368" w:rsidP="00AC0ED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</w:p>
    <w:p w:rsidR="006B3F3E" w:rsidRPr="00AB29AA" w:rsidRDefault="006B3F3E" w:rsidP="00AC0ED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  <w:r w:rsidRPr="00AB29AA">
        <w:rPr>
          <w:sz w:val="22"/>
          <w:szCs w:val="22"/>
        </w:rPr>
        <w:t xml:space="preserve">De </w:t>
      </w:r>
      <w:r w:rsidR="00BC2F1A" w:rsidRPr="00AB29AA">
        <w:rPr>
          <w:sz w:val="22"/>
          <w:szCs w:val="22"/>
        </w:rPr>
        <w:t>ressalvar, apenas</w:t>
      </w:r>
      <w:r w:rsidRPr="00AB29AA">
        <w:rPr>
          <w:sz w:val="22"/>
          <w:szCs w:val="22"/>
        </w:rPr>
        <w:t xml:space="preserve">, que compete privativamente ao Chefe do Poder Executivo realizar a gestão municipal (LOMPA, art. </w:t>
      </w:r>
      <w:r w:rsidR="00BC2F1A" w:rsidRPr="00AB29AA">
        <w:rPr>
          <w:sz w:val="22"/>
          <w:szCs w:val="22"/>
        </w:rPr>
        <w:t>94, inciso</w:t>
      </w:r>
      <w:r w:rsidR="00144F81" w:rsidRPr="00AB29AA">
        <w:rPr>
          <w:sz w:val="22"/>
          <w:szCs w:val="22"/>
        </w:rPr>
        <w:t xml:space="preserve"> XII), preceito este que </w:t>
      </w:r>
      <w:r w:rsidRPr="00AB29AA">
        <w:rPr>
          <w:sz w:val="22"/>
          <w:szCs w:val="22"/>
        </w:rPr>
        <w:t xml:space="preserve">resta afetado pelo conteúdo normativo do § 1º </w:t>
      </w:r>
      <w:r w:rsidR="00BC2F1A" w:rsidRPr="00AB29AA">
        <w:rPr>
          <w:sz w:val="22"/>
          <w:szCs w:val="22"/>
        </w:rPr>
        <w:t>do artigo</w:t>
      </w:r>
      <w:r w:rsidRPr="00AB29AA">
        <w:rPr>
          <w:sz w:val="22"/>
          <w:szCs w:val="22"/>
        </w:rPr>
        <w:t xml:space="preserve"> 1º</w:t>
      </w:r>
      <w:r w:rsidR="00AC0EDB" w:rsidRPr="00AB29AA">
        <w:rPr>
          <w:sz w:val="22"/>
          <w:szCs w:val="22"/>
        </w:rPr>
        <w:t xml:space="preserve"> </w:t>
      </w:r>
      <w:r w:rsidRPr="00AB29AA">
        <w:rPr>
          <w:sz w:val="22"/>
          <w:szCs w:val="22"/>
        </w:rPr>
        <w:t>da proposição, por implicar destinação de espaço em bem público.</w:t>
      </w:r>
    </w:p>
    <w:p w:rsidR="00BF5FD1" w:rsidRPr="00AC0EDB" w:rsidRDefault="00BF5FD1" w:rsidP="00AC0EDB">
      <w:pPr>
        <w:spacing w:line="360" w:lineRule="auto"/>
        <w:ind w:firstLine="851"/>
        <w:jc w:val="both"/>
        <w:rPr>
          <w:rFonts w:cs="Arial"/>
          <w:sz w:val="22"/>
          <w:szCs w:val="22"/>
          <w:highlight w:val="yellow"/>
        </w:rPr>
      </w:pPr>
    </w:p>
    <w:p w:rsidR="006B3F3E" w:rsidRPr="00AC0EDB" w:rsidRDefault="006B3F3E" w:rsidP="00AC0EDB">
      <w:pPr>
        <w:spacing w:line="360" w:lineRule="auto"/>
        <w:ind w:firstLine="851"/>
        <w:jc w:val="both"/>
        <w:rPr>
          <w:rFonts w:cs="Arial"/>
          <w:sz w:val="22"/>
          <w:szCs w:val="22"/>
        </w:rPr>
      </w:pPr>
      <w:r w:rsidRPr="00AC0EDB">
        <w:rPr>
          <w:rFonts w:cs="Arial"/>
          <w:sz w:val="22"/>
          <w:szCs w:val="22"/>
        </w:rPr>
        <w:t>É o parecer.</w:t>
      </w:r>
    </w:p>
    <w:p w:rsidR="00821368" w:rsidRPr="00AC0EDB" w:rsidRDefault="00821368" w:rsidP="00AC0EDB">
      <w:pPr>
        <w:spacing w:line="360" w:lineRule="auto"/>
        <w:ind w:firstLine="851"/>
        <w:jc w:val="both"/>
        <w:rPr>
          <w:rFonts w:cs="Arial"/>
          <w:sz w:val="22"/>
          <w:szCs w:val="22"/>
        </w:rPr>
      </w:pPr>
    </w:p>
    <w:p w:rsidR="00821368" w:rsidRPr="00AC0EDB" w:rsidRDefault="00821368" w:rsidP="00AC0EDB">
      <w:pPr>
        <w:spacing w:line="360" w:lineRule="auto"/>
        <w:ind w:firstLine="851"/>
        <w:jc w:val="both"/>
        <w:rPr>
          <w:rFonts w:cs="Arial"/>
          <w:sz w:val="22"/>
          <w:szCs w:val="22"/>
        </w:rPr>
      </w:pPr>
      <w:r w:rsidRPr="00AC0EDB">
        <w:rPr>
          <w:rFonts w:cs="Arial"/>
          <w:sz w:val="22"/>
          <w:szCs w:val="22"/>
        </w:rPr>
        <w:t>A consideração superior.</w:t>
      </w:r>
    </w:p>
    <w:p w:rsidR="006B3F3E" w:rsidRPr="00AC0EDB" w:rsidRDefault="006B3F3E" w:rsidP="00AC0EDB">
      <w:pPr>
        <w:pStyle w:val="Corpodetexto"/>
        <w:spacing w:line="360" w:lineRule="auto"/>
        <w:ind w:firstLine="851"/>
        <w:rPr>
          <w:sz w:val="22"/>
          <w:szCs w:val="22"/>
        </w:rPr>
      </w:pPr>
    </w:p>
    <w:p w:rsidR="006B3F3E" w:rsidRPr="00AC0EDB" w:rsidRDefault="00AC0EDB" w:rsidP="00AC0EDB">
      <w:pPr>
        <w:pStyle w:val="Corpodetexto"/>
        <w:spacing w:line="360" w:lineRule="auto"/>
        <w:ind w:firstLine="85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Em 02 de maio de </w:t>
      </w:r>
      <w:r w:rsidR="00377F4A">
        <w:rPr>
          <w:rFonts w:cs="Arial"/>
          <w:sz w:val="22"/>
          <w:szCs w:val="22"/>
        </w:rPr>
        <w:t>2017</w:t>
      </w:r>
      <w:bookmarkStart w:id="0" w:name="_GoBack"/>
      <w:bookmarkEnd w:id="0"/>
      <w:r w:rsidR="006B3F3E" w:rsidRPr="00AC0EDB">
        <w:rPr>
          <w:rFonts w:cs="Arial"/>
          <w:sz w:val="22"/>
          <w:szCs w:val="22"/>
        </w:rPr>
        <w:t>.</w:t>
      </w:r>
    </w:p>
    <w:p w:rsidR="00821368" w:rsidRPr="00AC0EDB" w:rsidRDefault="00821368" w:rsidP="00AC0EDB">
      <w:pPr>
        <w:pStyle w:val="Corpodetexto"/>
        <w:spacing w:line="360" w:lineRule="auto"/>
        <w:ind w:firstLine="851"/>
        <w:rPr>
          <w:rFonts w:cs="Arial"/>
          <w:sz w:val="22"/>
          <w:szCs w:val="22"/>
        </w:rPr>
      </w:pPr>
    </w:p>
    <w:p w:rsidR="003A4773" w:rsidRPr="00AC0EDB" w:rsidRDefault="00821368" w:rsidP="00AC0EDB">
      <w:pPr>
        <w:pStyle w:val="Corpodetexto"/>
        <w:spacing w:line="360" w:lineRule="auto"/>
        <w:ind w:firstLine="851"/>
        <w:rPr>
          <w:rFonts w:cs="Arial"/>
          <w:sz w:val="22"/>
          <w:szCs w:val="22"/>
        </w:rPr>
      </w:pPr>
      <w:r w:rsidRPr="00AC0EDB">
        <w:rPr>
          <w:rFonts w:cs="Arial"/>
          <w:sz w:val="22"/>
          <w:szCs w:val="22"/>
        </w:rPr>
        <w:t xml:space="preserve"> </w:t>
      </w:r>
    </w:p>
    <w:p w:rsidR="003A4773" w:rsidRPr="00AC0EDB" w:rsidRDefault="00821368" w:rsidP="00AC0EDB">
      <w:pPr>
        <w:pStyle w:val="Corpodetexto"/>
        <w:spacing w:line="360" w:lineRule="auto"/>
        <w:ind w:firstLine="851"/>
        <w:rPr>
          <w:rFonts w:cs="Arial"/>
          <w:sz w:val="22"/>
          <w:szCs w:val="22"/>
        </w:rPr>
      </w:pPr>
      <w:r w:rsidRPr="00AC0EDB">
        <w:rPr>
          <w:rFonts w:cs="Arial"/>
          <w:sz w:val="22"/>
          <w:szCs w:val="22"/>
        </w:rPr>
        <w:t>André Teles,</w:t>
      </w:r>
    </w:p>
    <w:p w:rsidR="00821368" w:rsidRPr="00AC0EDB" w:rsidRDefault="00821368" w:rsidP="00AC0EDB">
      <w:pPr>
        <w:pStyle w:val="Corpodetexto"/>
        <w:spacing w:line="360" w:lineRule="auto"/>
        <w:ind w:firstLine="851"/>
        <w:rPr>
          <w:rFonts w:cs="Arial"/>
          <w:sz w:val="22"/>
          <w:szCs w:val="22"/>
        </w:rPr>
      </w:pPr>
      <w:r w:rsidRPr="00AC0EDB">
        <w:rPr>
          <w:rFonts w:cs="Arial"/>
          <w:sz w:val="22"/>
          <w:szCs w:val="22"/>
        </w:rPr>
        <w:t>Procurador da CMPA.</w:t>
      </w:r>
    </w:p>
    <w:p w:rsidR="00821368" w:rsidRPr="00AC0EDB" w:rsidRDefault="00821368" w:rsidP="00AC0EDB">
      <w:pPr>
        <w:pStyle w:val="Corpodetexto"/>
        <w:spacing w:line="360" w:lineRule="auto"/>
        <w:ind w:firstLine="851"/>
        <w:rPr>
          <w:rFonts w:cs="Arial"/>
          <w:sz w:val="22"/>
          <w:szCs w:val="22"/>
        </w:rPr>
      </w:pPr>
    </w:p>
    <w:p w:rsidR="006B3F3E" w:rsidRPr="00AC0EDB" w:rsidRDefault="006B3F3E" w:rsidP="00AC0EDB">
      <w:pPr>
        <w:pStyle w:val="Corpodetexto"/>
        <w:spacing w:line="360" w:lineRule="auto"/>
        <w:ind w:left="851" w:hanging="851"/>
        <w:rPr>
          <w:rFonts w:cs="Arial"/>
          <w:sz w:val="22"/>
          <w:szCs w:val="22"/>
        </w:rPr>
      </w:pPr>
    </w:p>
    <w:p w:rsidR="00BC2F1A" w:rsidRPr="00AC0EDB" w:rsidRDefault="00BC2F1A" w:rsidP="006B3F3E">
      <w:pPr>
        <w:pStyle w:val="Corpodetexto"/>
        <w:ind w:firstLine="1418"/>
        <w:rPr>
          <w:rFonts w:cs="Arial"/>
          <w:sz w:val="22"/>
          <w:szCs w:val="22"/>
        </w:rPr>
      </w:pPr>
    </w:p>
    <w:p w:rsidR="006B3F3E" w:rsidRDefault="006B3F3E" w:rsidP="006B3F3E">
      <w:pPr>
        <w:pStyle w:val="Corpodetexto"/>
        <w:ind w:firstLine="1418"/>
        <w:rPr>
          <w:rFonts w:cs="Arial"/>
          <w:sz w:val="20"/>
        </w:rPr>
      </w:pPr>
    </w:p>
    <w:p w:rsidR="006B3F3E" w:rsidRPr="006B3F3E" w:rsidRDefault="006B3F3E">
      <w:pPr>
        <w:rPr>
          <w:sz w:val="20"/>
          <w:szCs w:val="20"/>
        </w:rPr>
      </w:pPr>
    </w:p>
    <w:sectPr w:rsidR="006B3F3E" w:rsidRPr="006B3F3E" w:rsidSect="00BC2F1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3E"/>
    <w:rsid w:val="001114A5"/>
    <w:rsid w:val="00144F81"/>
    <w:rsid w:val="002F6C43"/>
    <w:rsid w:val="00377F4A"/>
    <w:rsid w:val="003A4773"/>
    <w:rsid w:val="00635981"/>
    <w:rsid w:val="00646B37"/>
    <w:rsid w:val="006B3F3E"/>
    <w:rsid w:val="00821368"/>
    <w:rsid w:val="008410D1"/>
    <w:rsid w:val="00AB29AA"/>
    <w:rsid w:val="00AC0EDB"/>
    <w:rsid w:val="00AC40D3"/>
    <w:rsid w:val="00BC2F1A"/>
    <w:rsid w:val="00BF5FD1"/>
    <w:rsid w:val="00DE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3E827-3DBF-4728-B4DC-B6FBB33F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3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B3F3E"/>
    <w:pPr>
      <w:keepNext/>
      <w:ind w:left="2832"/>
      <w:outlineLvl w:val="1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6B3F3E"/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B3F3E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B3F3E"/>
    <w:pPr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6B3F3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B3F3E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6B3F3E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6B3F3E"/>
    <w:rPr>
      <w:rFonts w:ascii="Arial" w:eastAsia="Times New Roman" w:hAnsi="Arial" w:cs="Times New Roman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3F3E"/>
    <w:pPr>
      <w:jc w:val="center"/>
    </w:pPr>
    <w:rPr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6B3F3E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48EAD-BC77-4B21-B993-ED256DE6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Roberto Velasquez</dc:creator>
  <cp:lastModifiedBy>Andre Teles</cp:lastModifiedBy>
  <cp:revision>2</cp:revision>
  <dcterms:created xsi:type="dcterms:W3CDTF">2017-05-03T18:20:00Z</dcterms:created>
  <dcterms:modified xsi:type="dcterms:W3CDTF">2017-05-03T18:20:00Z</dcterms:modified>
</cp:coreProperties>
</file>