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7B" w:rsidRDefault="00BE3A7B" w:rsidP="00BE3A7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BE3A7B" w:rsidRDefault="00BE3A7B" w:rsidP="00BE3A7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BE3A7B" w:rsidRDefault="00BE3A7B" w:rsidP="00BE3A7B">
      <w:pPr>
        <w:rPr>
          <w:rFonts w:ascii="Arial" w:hAnsi="Arial" w:cs="Arial"/>
          <w:sz w:val="20"/>
          <w:szCs w:val="20"/>
        </w:rPr>
      </w:pPr>
    </w:p>
    <w:p w:rsidR="00BE3A7B" w:rsidRDefault="00BE3A7B" w:rsidP="00BE3A7B">
      <w:pPr>
        <w:rPr>
          <w:rFonts w:ascii="Arial" w:hAnsi="Arial" w:cs="Arial"/>
          <w:sz w:val="20"/>
          <w:szCs w:val="20"/>
        </w:rPr>
      </w:pPr>
    </w:p>
    <w:p w:rsidR="00BE3A7B" w:rsidRDefault="00BE3A7B" w:rsidP="00BE3A7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38</w:t>
      </w:r>
      <w:r w:rsidR="003B57A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/17.</w:t>
      </w:r>
    </w:p>
    <w:p w:rsidR="00BE3A7B" w:rsidRDefault="00BE3A7B" w:rsidP="00BE3A7B">
      <w:pPr>
        <w:rPr>
          <w:rFonts w:ascii="Arial" w:hAnsi="Arial" w:cs="Arial"/>
          <w:sz w:val="20"/>
          <w:szCs w:val="20"/>
        </w:rPr>
      </w:pPr>
    </w:p>
    <w:p w:rsidR="00BE3A7B" w:rsidRDefault="00BE3A7B" w:rsidP="00BE3A7B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BE3A7B" w:rsidRDefault="00BE3A7B" w:rsidP="00BE3A7B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1</w:t>
      </w:r>
      <w:r w:rsidR="008947ED">
        <w:rPr>
          <w:rFonts w:ascii="Arial" w:hAnsi="Arial" w:cs="Arial"/>
          <w:b/>
          <w:sz w:val="20"/>
          <w:szCs w:val="20"/>
        </w:rPr>
        <w:t>099</w:t>
      </w:r>
      <w:r>
        <w:rPr>
          <w:rFonts w:ascii="Arial" w:hAnsi="Arial" w:cs="Arial"/>
          <w:b/>
          <w:sz w:val="20"/>
          <w:szCs w:val="20"/>
        </w:rPr>
        <w:t>/17.</w:t>
      </w:r>
    </w:p>
    <w:p w:rsidR="00BE3A7B" w:rsidRDefault="00BE3A7B" w:rsidP="00BE3A7B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</w:t>
      </w:r>
      <w:r w:rsidR="008947ED">
        <w:rPr>
          <w:rFonts w:ascii="Arial" w:hAnsi="Arial" w:cs="Arial"/>
          <w:b/>
          <w:sz w:val="20"/>
          <w:szCs w:val="20"/>
        </w:rPr>
        <w:t>27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BE3A7B" w:rsidRDefault="00BE3A7B" w:rsidP="00BE3A7B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BE3A7B" w:rsidRPr="00BE3A7B" w:rsidRDefault="00BE3A7B" w:rsidP="00BE3A7B">
      <w:pPr>
        <w:pStyle w:val="Corpodetexto"/>
        <w:ind w:firstLine="708"/>
        <w:rPr>
          <w:rFonts w:cs="Arial"/>
          <w:sz w:val="20"/>
        </w:rPr>
      </w:pPr>
      <w:r w:rsidRPr="00BE3A7B">
        <w:rPr>
          <w:rFonts w:cs="Arial"/>
          <w:sz w:val="20"/>
        </w:rPr>
        <w:t>É submetido a exame desta Procuradoria o Projeto de Lei Complementar do Legislativo em epíg</w:t>
      </w:r>
      <w:r>
        <w:rPr>
          <w:rFonts w:cs="Arial"/>
          <w:sz w:val="20"/>
        </w:rPr>
        <w:t>rafe, que isenta do pagamento de taxa de inscrição em concursos públicos municipais as pessoas cadastradas no Registro Brasileiros de Doadores de Medula Óssea (REDOME).</w:t>
      </w:r>
    </w:p>
    <w:p w:rsidR="003B57A3" w:rsidRDefault="003B57A3" w:rsidP="003B57A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E3A7B">
        <w:rPr>
          <w:rFonts w:ascii="Arial" w:hAnsi="Arial" w:cs="Arial"/>
          <w:sz w:val="20"/>
          <w:szCs w:val="20"/>
        </w:rPr>
        <w:t>Consoante dis</w:t>
      </w:r>
      <w:r>
        <w:rPr>
          <w:rFonts w:ascii="Arial" w:hAnsi="Arial" w:cs="Arial"/>
          <w:sz w:val="20"/>
          <w:szCs w:val="20"/>
        </w:rPr>
        <w:t>põe a Constituição da República</w:t>
      </w:r>
      <w:r>
        <w:rPr>
          <w:rFonts w:ascii="Arial" w:hAnsi="Arial" w:cs="Arial"/>
          <w:sz w:val="20"/>
          <w:szCs w:val="20"/>
        </w:rPr>
        <w:t>, aos Municípios compete legislar sobre assuntos de interesse local e instituir e arrecadar os tributos de sua competência, dentre eles taxas, em razão do exercício do poder de polícia (art. 30, incisos I, e 145, II).</w:t>
      </w:r>
    </w:p>
    <w:p w:rsidR="003B57A3" w:rsidRDefault="003B57A3" w:rsidP="003B57A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na forma do que dispõe o Código Tributário Nacional, no artigo 6º, a atribuição constitucional de competência tributária compreende a competência legislativa plena.</w:t>
      </w:r>
    </w:p>
    <w:p w:rsidR="003B57A3" w:rsidRDefault="003B57A3" w:rsidP="003B57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declara a competência do Município para estabelecer suas leis e atos relativos ao interesse local, para instituir e arrecadar seus tributos e para </w:t>
      </w:r>
      <w:r>
        <w:rPr>
          <w:rFonts w:ascii="Arial" w:hAnsi="Arial" w:cs="Arial"/>
          <w:iCs/>
          <w:sz w:val="20"/>
          <w:szCs w:val="20"/>
        </w:rPr>
        <w:t xml:space="preserve">prover as condições para promoção, proteção e recuperação da saúde </w:t>
      </w:r>
      <w:r>
        <w:rPr>
          <w:rFonts w:ascii="Arial" w:hAnsi="Arial" w:cs="Arial"/>
          <w:sz w:val="20"/>
          <w:szCs w:val="20"/>
        </w:rPr>
        <w:t>(arts. 8º, inciso II, 9º, inciso III, 107 e</w:t>
      </w:r>
      <w:r>
        <w:rPr>
          <w:rFonts w:ascii="Arial" w:hAnsi="Arial" w:cs="Arial"/>
          <w:iCs/>
          <w:sz w:val="20"/>
          <w:szCs w:val="20"/>
        </w:rPr>
        <w:t xml:space="preserve"> 157)</w:t>
      </w:r>
      <w:r>
        <w:rPr>
          <w:rFonts w:ascii="Arial" w:hAnsi="Arial" w:cs="Arial"/>
          <w:sz w:val="20"/>
          <w:szCs w:val="20"/>
        </w:rPr>
        <w:t>.</w:t>
      </w:r>
    </w:p>
    <w:p w:rsidR="003B57A3" w:rsidRDefault="003B57A3" w:rsidP="003B57A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</w:t>
      </w:r>
      <w:r>
        <w:rPr>
          <w:rFonts w:cs="Arial"/>
          <w:sz w:val="20"/>
        </w:rPr>
        <w:t xml:space="preserve"> se</w:t>
      </w:r>
      <w:r>
        <w:rPr>
          <w:rFonts w:cs="Arial"/>
          <w:sz w:val="20"/>
        </w:rPr>
        <w:t xml:space="preserve"> insere no âmbito de competência municipal, inexistindo óbice jurídico à tramitação.</w:t>
      </w:r>
    </w:p>
    <w:p w:rsidR="003B57A3" w:rsidRDefault="003B57A3" w:rsidP="003B57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Cabe sinalar apenas que a Lei Orgânica estatui que a concessão de benefício ou incentivo que envolva matéria tributária exige </w:t>
      </w:r>
      <w:r w:rsidR="003A458D" w:rsidRPr="003B57A3">
        <w:rPr>
          <w:rFonts w:ascii="Arial" w:hAnsi="Arial" w:cs="Arial"/>
          <w:i/>
          <w:sz w:val="20"/>
          <w:szCs w:val="20"/>
        </w:rPr>
        <w:t>quórum</w:t>
      </w:r>
      <w:r>
        <w:rPr>
          <w:rFonts w:ascii="Arial" w:hAnsi="Arial" w:cs="Arial"/>
          <w:sz w:val="20"/>
          <w:szCs w:val="20"/>
        </w:rPr>
        <w:t xml:space="preserve"> qualificado e somente se pode dar por prazo determinado (artigo 113, </w:t>
      </w:r>
      <w:r>
        <w:rPr>
          <w:rFonts w:ascii="Arial" w:hAnsi="Arial" w:cs="Arial"/>
          <w:i/>
          <w:iCs/>
          <w:sz w:val="20"/>
          <w:szCs w:val="20"/>
        </w:rPr>
        <w:t xml:space="preserve">caput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3º), e que a Lei Complementar nº 101/2000, no artigo 14, impõe requisitos de cumprimento obrigatório no que tange à concessão de benefícios de natureza tributária.</w:t>
      </w:r>
    </w:p>
    <w:p w:rsidR="00BE3A7B" w:rsidRDefault="00BE3A7B" w:rsidP="00BE3A7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E3A7B" w:rsidRDefault="00BE3A7B" w:rsidP="00BE3A7B">
      <w:pPr>
        <w:pStyle w:val="Corpodetexto"/>
        <w:ind w:firstLine="708"/>
        <w:rPr>
          <w:sz w:val="20"/>
        </w:rPr>
      </w:pPr>
    </w:p>
    <w:p w:rsidR="00BE3A7B" w:rsidRDefault="00BE3A7B" w:rsidP="00BE3A7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E3A7B" w:rsidRDefault="00BE3A7B" w:rsidP="00BE3A7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26 de junho de 2.017.</w:t>
      </w:r>
    </w:p>
    <w:p w:rsidR="00BE3A7B" w:rsidRDefault="00BE3A7B" w:rsidP="00BE3A7B">
      <w:pPr>
        <w:pStyle w:val="Corpodetexto"/>
        <w:ind w:firstLine="1418"/>
        <w:rPr>
          <w:rFonts w:cs="Arial"/>
          <w:sz w:val="20"/>
        </w:rPr>
      </w:pPr>
    </w:p>
    <w:p w:rsidR="00BE3A7B" w:rsidRDefault="00BE3A7B" w:rsidP="00BE3A7B">
      <w:pPr>
        <w:pStyle w:val="Corpodetexto"/>
        <w:ind w:firstLine="1418"/>
        <w:rPr>
          <w:rFonts w:cs="Arial"/>
          <w:sz w:val="20"/>
        </w:rPr>
      </w:pPr>
    </w:p>
    <w:p w:rsidR="00BE3A7B" w:rsidRDefault="00BE3A7B" w:rsidP="00BE3A7B">
      <w:pPr>
        <w:pStyle w:val="Corpodetexto"/>
        <w:ind w:firstLine="1418"/>
        <w:rPr>
          <w:rFonts w:cs="Arial"/>
          <w:sz w:val="20"/>
        </w:rPr>
      </w:pPr>
    </w:p>
    <w:p w:rsidR="00BE3A7B" w:rsidRDefault="00BE3A7B" w:rsidP="00BE3A7B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E3A7B" w:rsidRDefault="00BE3A7B" w:rsidP="00BE3A7B">
      <w:pPr>
        <w:ind w:left="42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E3A7B" w:rsidRDefault="00BE3A7B" w:rsidP="00BE3A7B">
      <w:pPr>
        <w:pStyle w:val="Corpodetexto"/>
        <w:ind w:firstLine="1418"/>
        <w:rPr>
          <w:rFonts w:cs="Arial"/>
          <w:sz w:val="20"/>
        </w:rPr>
      </w:pPr>
    </w:p>
    <w:p w:rsidR="00BE3A7B" w:rsidRDefault="00BE3A7B" w:rsidP="00BE3A7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E3A7B" w:rsidRDefault="00BE3A7B" w:rsidP="00BE3A7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E3A7B" w:rsidRDefault="00BE3A7B" w:rsidP="00BE3A7B">
      <w:pPr>
        <w:pStyle w:val="Corpodetexto"/>
        <w:ind w:firstLine="1418"/>
        <w:rPr>
          <w:rFonts w:cs="Arial"/>
          <w:sz w:val="20"/>
        </w:rPr>
      </w:pPr>
    </w:p>
    <w:p w:rsidR="00BE3A7B" w:rsidRDefault="00BE3A7B" w:rsidP="00BE3A7B"/>
    <w:p w:rsidR="00BE3A7B" w:rsidRDefault="00BE3A7B" w:rsidP="00BE3A7B"/>
    <w:p w:rsidR="00F4209E" w:rsidRPr="00BE3A7B" w:rsidRDefault="003A458D">
      <w:pPr>
        <w:rPr>
          <w:sz w:val="20"/>
          <w:szCs w:val="20"/>
        </w:rPr>
      </w:pPr>
    </w:p>
    <w:sectPr w:rsidR="00F4209E" w:rsidRPr="00BE3A7B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7B"/>
    <w:rsid w:val="001C2727"/>
    <w:rsid w:val="002B34DD"/>
    <w:rsid w:val="003A458D"/>
    <w:rsid w:val="003B57A3"/>
    <w:rsid w:val="00753A44"/>
    <w:rsid w:val="008947ED"/>
    <w:rsid w:val="00B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68A2-6E59-410F-8AE6-BE5F3A1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3A7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BE3A7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E3A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3A7B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3A7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E3A7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E3A7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E3A7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2017-06-26T13:30:00Z</dcterms:created>
  <dcterms:modified xsi:type="dcterms:W3CDTF">2017-06-26T13:39:00Z</dcterms:modified>
</cp:coreProperties>
</file>