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4" w:rsidRDefault="00FB4804" w:rsidP="00FB4804">
      <w:pPr>
        <w:pStyle w:val="Ttulo"/>
        <w:rPr>
          <w:b/>
          <w:sz w:val="20"/>
        </w:rPr>
      </w:pPr>
      <w:r>
        <w:rPr>
          <w:b/>
          <w:sz w:val="20"/>
        </w:rPr>
        <w:t>CÂMARA MUNICIPAL DE PORTO ALEGRE</w:t>
      </w:r>
    </w:p>
    <w:p w:rsidR="00FB4804" w:rsidRDefault="00FB4804" w:rsidP="00FB4804">
      <w:pPr>
        <w:pStyle w:val="Subttulo"/>
        <w:rPr>
          <w:sz w:val="20"/>
        </w:rPr>
      </w:pPr>
      <w:r>
        <w:rPr>
          <w:sz w:val="20"/>
        </w:rPr>
        <w:t>PROCURADORIA</w:t>
      </w:r>
    </w:p>
    <w:p w:rsidR="00FB4804" w:rsidRDefault="00FB4804" w:rsidP="00FB4804">
      <w:pPr>
        <w:pStyle w:val="Ttulo1"/>
        <w:ind w:left="0"/>
        <w:rPr>
          <w:sz w:val="20"/>
        </w:rPr>
      </w:pPr>
    </w:p>
    <w:p w:rsidR="00FB4804" w:rsidRDefault="00FB4804" w:rsidP="00FB4804">
      <w:pPr>
        <w:pStyle w:val="Ttulo1"/>
        <w:ind w:left="0"/>
        <w:rPr>
          <w:sz w:val="20"/>
        </w:rPr>
      </w:pPr>
      <w:r>
        <w:rPr>
          <w:sz w:val="20"/>
        </w:rPr>
        <w:t>PARECER Nº 3</w:t>
      </w:r>
      <w:r w:rsidR="00F1059B">
        <w:rPr>
          <w:sz w:val="20"/>
        </w:rPr>
        <w:t>65</w:t>
      </w:r>
      <w:bookmarkStart w:id="0" w:name="_GoBack"/>
      <w:bookmarkEnd w:id="0"/>
      <w:r>
        <w:rPr>
          <w:sz w:val="20"/>
        </w:rPr>
        <w:t>/17.</w:t>
      </w:r>
    </w:p>
    <w:p w:rsidR="00FB4804" w:rsidRDefault="00FB4804" w:rsidP="00FB4804">
      <w:pPr>
        <w:ind w:left="4536"/>
        <w:rPr>
          <w:b/>
          <w:sz w:val="20"/>
          <w:szCs w:val="20"/>
        </w:rPr>
      </w:pPr>
    </w:p>
    <w:p w:rsidR="00FB4804" w:rsidRDefault="00FB4804" w:rsidP="00FB4804">
      <w:pPr>
        <w:ind w:left="453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PROCESSO Nº 1214/17.</w:t>
      </w:r>
    </w:p>
    <w:p w:rsidR="00FB4804" w:rsidRDefault="00FB4804" w:rsidP="00FB4804">
      <w:pPr>
        <w:ind w:left="453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PLCL Nº 19/17.</w:t>
      </w:r>
    </w:p>
    <w:p w:rsidR="00FB4804" w:rsidRDefault="00FB4804" w:rsidP="00FB4804">
      <w:pPr>
        <w:ind w:left="2832"/>
        <w:rPr>
          <w:b/>
          <w:sz w:val="20"/>
          <w:szCs w:val="20"/>
        </w:rPr>
      </w:pPr>
    </w:p>
    <w:p w:rsidR="00FB4804" w:rsidRDefault="00FB4804" w:rsidP="00FB4804">
      <w:pPr>
        <w:pStyle w:val="Recuodecorpodetexto"/>
        <w:rPr>
          <w:b/>
          <w:sz w:val="20"/>
        </w:rPr>
      </w:pPr>
    </w:p>
    <w:p w:rsidR="00FB4804" w:rsidRDefault="00FB4804" w:rsidP="00FB4804">
      <w:pPr>
        <w:pStyle w:val="Recuodecorpodetexto"/>
        <w:ind w:firstLine="708"/>
        <w:rPr>
          <w:sz w:val="20"/>
        </w:rPr>
      </w:pPr>
      <w:r>
        <w:rPr>
          <w:sz w:val="20"/>
        </w:rPr>
        <w:t xml:space="preserve">É submetido a exame desta Procuradoria, para parecer prévio, o Projeto de Lei Complementar do Legislativo em referência, que altera a Lei Complementar nº 618/09, que institui a adoção de equipamentos públicos e de verdes complementares por pessoas jurídicas, ampliando o rol de equipamentos públicos passíveis de </w:t>
      </w:r>
      <w:r w:rsidR="00813599">
        <w:rPr>
          <w:sz w:val="20"/>
        </w:rPr>
        <w:t>adoção,</w:t>
      </w:r>
      <w:r>
        <w:rPr>
          <w:sz w:val="20"/>
        </w:rPr>
        <w:t xml:space="preserve"> estabelecendo prazos relativos aos procedimentos de adoção e atribuições aos adotantes e dispondo sobre a publicidade permitida.</w:t>
      </w:r>
    </w:p>
    <w:p w:rsidR="00FB4804" w:rsidRDefault="00FB4804" w:rsidP="00FB4804">
      <w:pPr>
        <w:pStyle w:val="Recuodecorpodetexto"/>
        <w:ind w:firstLine="708"/>
        <w:rPr>
          <w:sz w:val="20"/>
        </w:rPr>
      </w:pPr>
      <w:r>
        <w:rPr>
          <w:sz w:val="20"/>
        </w:rPr>
        <w:t>Os Municípios detêm autonomia administrativa e financeira e competência para legislar sobre assuntos de interesse local (arts. 18 e 30, inciso I, da CF).</w:t>
      </w:r>
    </w:p>
    <w:p w:rsidR="00FB4804" w:rsidRDefault="00FB4804" w:rsidP="00FB48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Lei Orgânica do Município de Porto Alegre declara a competência deste para prover tudo quanto concerne ao interesse local, para dispor sobre a administração, utilização e alienação de seus bens, e para regulamentar a fixação de cartazes e anúncios publicitários (art. 8º, incisos VII, XIV e XVIII; art. e 9º, incisos II e IV).</w:t>
      </w:r>
    </w:p>
    <w:p w:rsidR="00FB4804" w:rsidRDefault="00FB4804" w:rsidP="00FB48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matéria objeto da proposição se insere no âmbito de competência municipal, inexistindo óbice jurídico à tramitação, sob tal enfoque.</w:t>
      </w:r>
    </w:p>
    <w:p w:rsidR="00FB4804" w:rsidRDefault="00FB4804" w:rsidP="00FB48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Ressalvo, contudo, que</w:t>
      </w:r>
      <w:r w:rsidRPr="00FB4804">
        <w:rPr>
          <w:sz w:val="20"/>
          <w:szCs w:val="20"/>
        </w:rPr>
        <w:t xml:space="preserve"> </w:t>
      </w:r>
      <w:r>
        <w:rPr>
          <w:sz w:val="20"/>
          <w:szCs w:val="20"/>
        </w:rPr>
        <w:t>o conteúdo normativo do artigo 2º da mesma, por consubstanciar interferência na gestão do Município, vênia concedida, incide em violação ao preceito do artigo 94, inciso IV, da Lei Orgânica.</w:t>
      </w:r>
      <w:r>
        <w:rPr>
          <w:sz w:val="20"/>
          <w:szCs w:val="20"/>
        </w:rPr>
        <w:tab/>
        <w:t xml:space="preserve"> </w:t>
      </w:r>
    </w:p>
    <w:p w:rsidR="00FB4804" w:rsidRDefault="00FB4804" w:rsidP="00FB4804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FB4804" w:rsidRDefault="00FB4804" w:rsidP="00FB480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Em 16 de junho de 2.017.</w:t>
      </w:r>
    </w:p>
    <w:p w:rsidR="00FB4804" w:rsidRDefault="00FB4804" w:rsidP="00FB4804">
      <w:pPr>
        <w:jc w:val="both"/>
        <w:rPr>
          <w:rFonts w:cs="Arial"/>
          <w:sz w:val="20"/>
          <w:szCs w:val="20"/>
        </w:rPr>
      </w:pPr>
    </w:p>
    <w:p w:rsidR="00FB4804" w:rsidRDefault="00FB4804" w:rsidP="00FB4804">
      <w:pPr>
        <w:jc w:val="both"/>
        <w:rPr>
          <w:rFonts w:cs="Arial"/>
          <w:sz w:val="20"/>
          <w:szCs w:val="20"/>
        </w:rPr>
      </w:pPr>
    </w:p>
    <w:p w:rsidR="00FB4804" w:rsidRDefault="00FB4804" w:rsidP="00FB4804">
      <w:pPr>
        <w:jc w:val="both"/>
        <w:rPr>
          <w:rFonts w:cs="Arial"/>
          <w:sz w:val="20"/>
          <w:szCs w:val="20"/>
        </w:rPr>
      </w:pPr>
    </w:p>
    <w:p w:rsidR="00FB4804" w:rsidRDefault="00FB4804" w:rsidP="00FB4804">
      <w:pPr>
        <w:jc w:val="both"/>
        <w:rPr>
          <w:rFonts w:cs="Arial"/>
          <w:sz w:val="20"/>
          <w:szCs w:val="20"/>
        </w:rPr>
      </w:pPr>
    </w:p>
    <w:p w:rsidR="00FB4804" w:rsidRDefault="00FB4804" w:rsidP="00FB480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Claudio Roberto Velasquez</w:t>
      </w:r>
    </w:p>
    <w:p w:rsidR="00FB4804" w:rsidRDefault="00FB4804" w:rsidP="00FB4804">
      <w:pPr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16"/>
          <w:szCs w:val="16"/>
        </w:rPr>
        <w:t>Procurador – OAB/RS 18.594</w:t>
      </w:r>
    </w:p>
    <w:p w:rsidR="00FB4804" w:rsidRDefault="00FB4804" w:rsidP="00FB4804">
      <w:pPr>
        <w:rPr>
          <w:rFonts w:cs="Arial"/>
          <w:sz w:val="20"/>
          <w:szCs w:val="20"/>
        </w:rPr>
      </w:pPr>
    </w:p>
    <w:p w:rsidR="00FB4804" w:rsidRDefault="00FB4804" w:rsidP="00FB4804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B4804" w:rsidRDefault="00FB4804" w:rsidP="00FB4804">
      <w:pPr>
        <w:rPr>
          <w:sz w:val="20"/>
          <w:szCs w:val="20"/>
        </w:rPr>
      </w:pPr>
    </w:p>
    <w:p w:rsidR="00F4209E" w:rsidRDefault="00F1059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4"/>
    <w:rsid w:val="001C2727"/>
    <w:rsid w:val="002B34DD"/>
    <w:rsid w:val="00370C73"/>
    <w:rsid w:val="00753A44"/>
    <w:rsid w:val="00813599"/>
    <w:rsid w:val="00F1059B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1D0F-55DA-475B-91E5-0CEED0B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4804"/>
    <w:pPr>
      <w:keepNext/>
      <w:ind w:left="2832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48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B4804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B48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B4804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FB4804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B4804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4804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B4804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FB4804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2017-06-16T12:39:00Z</dcterms:created>
  <dcterms:modified xsi:type="dcterms:W3CDTF">2017-06-16T13:00:00Z</dcterms:modified>
</cp:coreProperties>
</file>