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00D" w:rsidRDefault="0013300D" w:rsidP="0013300D">
      <w:pPr>
        <w:jc w:val="center"/>
        <w:rPr>
          <w:rFonts w:ascii="Arial" w:hAnsi="Arial"/>
          <w:b/>
          <w:sz w:val="20"/>
          <w:szCs w:val="20"/>
        </w:rPr>
      </w:pPr>
      <w:r>
        <w:rPr>
          <w:rFonts w:ascii="Arial" w:hAnsi="Arial"/>
          <w:b/>
          <w:sz w:val="20"/>
          <w:szCs w:val="20"/>
        </w:rPr>
        <w:t>CAMARA MUNICIPAL DE PORTO ALEGRE</w:t>
      </w:r>
    </w:p>
    <w:p w:rsidR="0013300D" w:rsidRDefault="0013300D" w:rsidP="0013300D">
      <w:pPr>
        <w:pStyle w:val="Ttulo3"/>
        <w:rPr>
          <w:rFonts w:ascii="Arial" w:hAnsi="Arial"/>
          <w:i w:val="0"/>
          <w:sz w:val="20"/>
        </w:rPr>
      </w:pPr>
      <w:r>
        <w:rPr>
          <w:rFonts w:ascii="Arial" w:hAnsi="Arial"/>
          <w:i w:val="0"/>
          <w:sz w:val="20"/>
        </w:rPr>
        <w:t>PROCURADORIA</w:t>
      </w:r>
    </w:p>
    <w:p w:rsidR="0013300D" w:rsidRDefault="0013300D" w:rsidP="0013300D">
      <w:pPr>
        <w:pStyle w:val="Ttulo2"/>
        <w:rPr>
          <w:rFonts w:ascii="Arial" w:hAnsi="Arial"/>
          <w:b w:val="0"/>
          <w:sz w:val="20"/>
        </w:rPr>
      </w:pPr>
    </w:p>
    <w:p w:rsidR="0013300D" w:rsidRDefault="0013300D" w:rsidP="0013300D">
      <w:pPr>
        <w:pStyle w:val="Ttulo2"/>
        <w:rPr>
          <w:rFonts w:ascii="Arial" w:hAnsi="Arial"/>
          <w:b w:val="0"/>
          <w:sz w:val="20"/>
        </w:rPr>
      </w:pPr>
    </w:p>
    <w:p w:rsidR="0013300D" w:rsidRDefault="0013300D" w:rsidP="0013300D">
      <w:pPr>
        <w:pStyle w:val="Ttulo2"/>
        <w:rPr>
          <w:rFonts w:ascii="Arial" w:hAnsi="Arial"/>
          <w:sz w:val="20"/>
        </w:rPr>
      </w:pPr>
      <w:r>
        <w:rPr>
          <w:rFonts w:ascii="Arial" w:hAnsi="Arial"/>
          <w:sz w:val="20"/>
        </w:rPr>
        <w:t xml:space="preserve">PARECER Nº </w:t>
      </w:r>
      <w:r w:rsidR="004F6CEF">
        <w:rPr>
          <w:rFonts w:ascii="Arial" w:hAnsi="Arial"/>
          <w:sz w:val="20"/>
        </w:rPr>
        <w:t>669</w:t>
      </w:r>
      <w:r>
        <w:rPr>
          <w:rFonts w:ascii="Arial" w:hAnsi="Arial"/>
          <w:sz w:val="20"/>
        </w:rPr>
        <w:t>/17.</w:t>
      </w:r>
    </w:p>
    <w:p w:rsidR="0013300D" w:rsidRDefault="0013300D" w:rsidP="0013300D">
      <w:pPr>
        <w:ind w:firstLine="7088"/>
        <w:jc w:val="both"/>
        <w:rPr>
          <w:sz w:val="20"/>
          <w:szCs w:val="20"/>
        </w:rPr>
      </w:pPr>
    </w:p>
    <w:p w:rsidR="0013300D" w:rsidRDefault="0013300D" w:rsidP="0013300D">
      <w:pPr>
        <w:pStyle w:val="Ttulo1"/>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PROCESSO Nº 1266/17.</w:t>
      </w:r>
    </w:p>
    <w:p w:rsidR="0013300D" w:rsidRDefault="0013300D" w:rsidP="0013300D">
      <w:pPr>
        <w:pStyle w:val="Ttulo1"/>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PLL Nº 143/17.</w:t>
      </w:r>
    </w:p>
    <w:p w:rsidR="0013300D" w:rsidRDefault="0013300D" w:rsidP="0013300D">
      <w:pPr>
        <w:rPr>
          <w:b/>
          <w:sz w:val="20"/>
          <w:szCs w:val="20"/>
        </w:rPr>
      </w:pPr>
    </w:p>
    <w:p w:rsidR="0013300D" w:rsidRDefault="0013300D" w:rsidP="0013300D">
      <w:pPr>
        <w:rPr>
          <w:b/>
          <w:sz w:val="20"/>
          <w:szCs w:val="20"/>
        </w:rPr>
      </w:pPr>
    </w:p>
    <w:p w:rsidR="0013300D" w:rsidRDefault="0013300D" w:rsidP="0013300D">
      <w:pPr>
        <w:jc w:val="both"/>
        <w:rPr>
          <w:rFonts w:ascii="Arial" w:hAnsi="Arial"/>
        </w:rPr>
      </w:pPr>
    </w:p>
    <w:p w:rsidR="0013300D" w:rsidRDefault="0013300D" w:rsidP="0013300D">
      <w:pPr>
        <w:jc w:val="both"/>
        <w:rPr>
          <w:rFonts w:ascii="Arial" w:hAnsi="Arial"/>
          <w:sz w:val="20"/>
          <w:szCs w:val="20"/>
        </w:rPr>
      </w:pPr>
      <w:r>
        <w:rPr>
          <w:rFonts w:ascii="Arial" w:hAnsi="Arial"/>
        </w:rPr>
        <w:tab/>
      </w:r>
      <w:r>
        <w:rPr>
          <w:rFonts w:ascii="Arial" w:hAnsi="Arial"/>
          <w:sz w:val="20"/>
          <w:szCs w:val="20"/>
        </w:rPr>
        <w:t>É submetido a exame desta Procuradoria, para parecer prévio, o Substitutivo nº 01 ao Projeto de Lei em epígrafe, que institui a Feira da Praça Jaime Telles, destinada à comercialização de artesanatos, artes culinárias e produtos da economia popular.</w:t>
      </w:r>
    </w:p>
    <w:p w:rsidR="0013300D" w:rsidRDefault="0013300D" w:rsidP="0013300D">
      <w:pPr>
        <w:jc w:val="both"/>
        <w:rPr>
          <w:rFonts w:ascii="Arial" w:hAnsi="Arial"/>
          <w:sz w:val="20"/>
          <w:szCs w:val="20"/>
        </w:rPr>
      </w:pPr>
      <w:r>
        <w:rPr>
          <w:rFonts w:ascii="Arial" w:hAnsi="Arial"/>
          <w:sz w:val="20"/>
          <w:szCs w:val="20"/>
        </w:rPr>
        <w:tab/>
        <w:t>Na forma do que dispõe a Carta Magna, compete aos Municípios legislar sobre assuntos de interesse local (artigo 30, inciso I).</w:t>
      </w:r>
    </w:p>
    <w:p w:rsidR="0013300D" w:rsidRDefault="0013300D" w:rsidP="0013300D">
      <w:pPr>
        <w:pStyle w:val="Corpodetexto"/>
        <w:ind w:firstLine="708"/>
        <w:rPr>
          <w:sz w:val="20"/>
        </w:rPr>
      </w:pPr>
      <w:r>
        <w:rPr>
          <w:sz w:val="20"/>
        </w:rPr>
        <w:t>A Lei Orgânica, de forma ajustada aos princípios constitucionais, determina a competência do Município para prover tudo quanto concerne ao interesse local, para estabelecer suas leis, decretos e atos relativos aos assuntos de interesse local, bem como para administrar seus bens, aliená-los e dispor sobre sua aplicação (artigo 9º, incisos II, III e IV).</w:t>
      </w:r>
    </w:p>
    <w:p w:rsidR="0013300D" w:rsidRDefault="0013300D" w:rsidP="0013300D">
      <w:pPr>
        <w:jc w:val="both"/>
        <w:rPr>
          <w:sz w:val="20"/>
          <w:szCs w:val="20"/>
        </w:rPr>
      </w:pPr>
      <w:r>
        <w:rPr>
          <w:rFonts w:ascii="Arial" w:hAnsi="Arial"/>
          <w:sz w:val="20"/>
          <w:szCs w:val="20"/>
        </w:rPr>
        <w:tab/>
        <w:t>Conforme se infere do exposto, há previsão legal para atuação do legislador municipal no âmbito da matéria objeto da proposição.</w:t>
      </w:r>
    </w:p>
    <w:p w:rsidR="0013300D" w:rsidRDefault="0013300D" w:rsidP="0013300D">
      <w:pPr>
        <w:pStyle w:val="Recuodecorpodetexto"/>
        <w:ind w:firstLine="0"/>
        <w:rPr>
          <w:rFonts w:cs="Arial"/>
          <w:sz w:val="20"/>
        </w:rPr>
      </w:pPr>
      <w:r>
        <w:rPr>
          <w:rFonts w:cs="Arial"/>
          <w:sz w:val="20"/>
        </w:rPr>
        <w:tab/>
        <w:t xml:space="preserve">Contudo, os conteúdos normativos de seus artigos 3º a 6º, porque regulam forma de utilização de bem municipal, vênia concedida, incidem em violação ao disposto no artigo 94, inciso XII, da Lei Orgânica, que atribui competência privativa do Chefe do Poder Executivo para realizar a administração do Município. </w:t>
      </w:r>
    </w:p>
    <w:p w:rsidR="0013300D" w:rsidRDefault="0013300D" w:rsidP="0013300D">
      <w:pPr>
        <w:ind w:firstLine="708"/>
        <w:jc w:val="both"/>
        <w:rPr>
          <w:rFonts w:ascii="Arial" w:hAnsi="Arial"/>
          <w:sz w:val="20"/>
          <w:szCs w:val="20"/>
        </w:rPr>
      </w:pPr>
      <w:r>
        <w:rPr>
          <w:rFonts w:ascii="Arial" w:hAnsi="Arial"/>
          <w:sz w:val="20"/>
          <w:szCs w:val="20"/>
        </w:rPr>
        <w:t xml:space="preserve">É o parecer, </w:t>
      </w:r>
      <w:r>
        <w:rPr>
          <w:rFonts w:ascii="Arial" w:hAnsi="Arial"/>
          <w:i/>
          <w:sz w:val="20"/>
          <w:szCs w:val="20"/>
        </w:rPr>
        <w:t>sub censura</w:t>
      </w:r>
      <w:r>
        <w:rPr>
          <w:rFonts w:ascii="Arial" w:hAnsi="Arial"/>
          <w:sz w:val="20"/>
          <w:szCs w:val="20"/>
        </w:rPr>
        <w:t>.</w:t>
      </w:r>
    </w:p>
    <w:p w:rsidR="0013300D" w:rsidRDefault="00B0389B" w:rsidP="0013300D">
      <w:pPr>
        <w:jc w:val="both"/>
        <w:rPr>
          <w:sz w:val="20"/>
          <w:szCs w:val="20"/>
        </w:rPr>
      </w:pPr>
      <w:r>
        <w:rPr>
          <w:rFonts w:ascii="Arial" w:hAnsi="Arial"/>
          <w:sz w:val="20"/>
          <w:szCs w:val="20"/>
        </w:rPr>
        <w:tab/>
        <w:t>Em 20</w:t>
      </w:r>
      <w:r w:rsidR="0013300D">
        <w:rPr>
          <w:rFonts w:ascii="Arial" w:hAnsi="Arial"/>
          <w:sz w:val="20"/>
          <w:szCs w:val="20"/>
        </w:rPr>
        <w:t xml:space="preserve"> de </w:t>
      </w:r>
      <w:r>
        <w:rPr>
          <w:rFonts w:ascii="Arial" w:hAnsi="Arial"/>
          <w:sz w:val="20"/>
          <w:szCs w:val="20"/>
        </w:rPr>
        <w:t>outubro</w:t>
      </w:r>
      <w:bookmarkStart w:id="0" w:name="_GoBack"/>
      <w:bookmarkEnd w:id="0"/>
      <w:r w:rsidR="0013300D">
        <w:rPr>
          <w:rFonts w:ascii="Arial" w:hAnsi="Arial"/>
          <w:sz w:val="20"/>
          <w:szCs w:val="20"/>
        </w:rPr>
        <w:t xml:space="preserve"> de 2.017.</w:t>
      </w:r>
    </w:p>
    <w:p w:rsidR="0013300D" w:rsidRDefault="0013300D" w:rsidP="0013300D">
      <w:pPr>
        <w:jc w:val="both"/>
        <w:rPr>
          <w:rFonts w:ascii="Arial" w:hAnsi="Arial"/>
          <w:sz w:val="20"/>
          <w:szCs w:val="20"/>
        </w:rPr>
      </w:pPr>
    </w:p>
    <w:p w:rsidR="0013300D" w:rsidRDefault="0013300D" w:rsidP="0013300D">
      <w:pPr>
        <w:jc w:val="both"/>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p>
    <w:p w:rsidR="0013300D" w:rsidRDefault="0013300D" w:rsidP="0013300D">
      <w:pPr>
        <w:rPr>
          <w:sz w:val="20"/>
          <w:szCs w:val="20"/>
        </w:rPr>
      </w:pPr>
    </w:p>
    <w:p w:rsidR="0013300D" w:rsidRDefault="0013300D" w:rsidP="0013300D">
      <w:pPr>
        <w:rPr>
          <w:rFonts w:ascii="Arial" w:hAnsi="Arial" w:cs="Arial"/>
          <w:sz w:val="20"/>
          <w:szCs w:val="20"/>
        </w:rPr>
      </w:pPr>
      <w:r>
        <w:rPr>
          <w:rFonts w:ascii="Arial" w:hAnsi="Arial" w:cs="Arial"/>
          <w:sz w:val="20"/>
          <w:szCs w:val="20"/>
        </w:rPr>
        <w:tab/>
        <w:t xml:space="preserve"> Claudio Roberto Velasquez</w:t>
      </w:r>
    </w:p>
    <w:p w:rsidR="0013300D" w:rsidRDefault="0013300D" w:rsidP="0013300D">
      <w:pPr>
        <w:rPr>
          <w:rFonts w:ascii="Arial" w:hAnsi="Arial" w:cs="Arial"/>
          <w:sz w:val="16"/>
          <w:szCs w:val="16"/>
        </w:rPr>
      </w:pPr>
      <w:r>
        <w:rPr>
          <w:rFonts w:ascii="Arial" w:hAnsi="Arial" w:cs="Arial"/>
          <w:sz w:val="16"/>
          <w:szCs w:val="16"/>
        </w:rPr>
        <w:tab/>
        <w:t xml:space="preserve">  Procurador-Geral-OAB/RS 18.594</w:t>
      </w:r>
    </w:p>
    <w:p w:rsidR="0013300D" w:rsidRDefault="0013300D" w:rsidP="0013300D">
      <w:pPr>
        <w:rPr>
          <w:sz w:val="20"/>
          <w:szCs w:val="20"/>
        </w:rPr>
      </w:pPr>
    </w:p>
    <w:p w:rsidR="0013300D" w:rsidRDefault="0013300D" w:rsidP="0013300D">
      <w:pPr>
        <w:rPr>
          <w:sz w:val="20"/>
          <w:szCs w:val="20"/>
        </w:rPr>
      </w:pPr>
    </w:p>
    <w:p w:rsidR="00083805" w:rsidRDefault="00B0389B"/>
    <w:sectPr w:rsidR="00083805" w:rsidSect="00AD37E5">
      <w:pgSz w:w="11906" w:h="16838"/>
      <w:pgMar w:top="1417"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0D"/>
    <w:rsid w:val="0013300D"/>
    <w:rsid w:val="00134B5B"/>
    <w:rsid w:val="00187867"/>
    <w:rsid w:val="004F6CEF"/>
    <w:rsid w:val="005A31E7"/>
    <w:rsid w:val="006438AB"/>
    <w:rsid w:val="00AD37E5"/>
    <w:rsid w:val="00B0389B"/>
    <w:rsid w:val="00F06E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70328-44D4-468F-9977-9A1FCAC9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00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3300D"/>
    <w:pPr>
      <w:keepNext/>
      <w:outlineLvl w:val="0"/>
    </w:pPr>
    <w:rPr>
      <w:sz w:val="40"/>
      <w:szCs w:val="20"/>
    </w:rPr>
  </w:style>
  <w:style w:type="paragraph" w:styleId="Ttulo2">
    <w:name w:val="heading 2"/>
    <w:basedOn w:val="Normal"/>
    <w:next w:val="Normal"/>
    <w:link w:val="Ttulo2Char"/>
    <w:semiHidden/>
    <w:unhideWhenUsed/>
    <w:qFormat/>
    <w:rsid w:val="0013300D"/>
    <w:pPr>
      <w:keepNext/>
      <w:outlineLvl w:val="1"/>
    </w:pPr>
    <w:rPr>
      <w:b/>
      <w:sz w:val="40"/>
      <w:szCs w:val="20"/>
    </w:rPr>
  </w:style>
  <w:style w:type="paragraph" w:styleId="Ttulo3">
    <w:name w:val="heading 3"/>
    <w:basedOn w:val="Normal"/>
    <w:next w:val="Normal"/>
    <w:link w:val="Ttulo3Char"/>
    <w:semiHidden/>
    <w:unhideWhenUsed/>
    <w:qFormat/>
    <w:rsid w:val="0013300D"/>
    <w:pPr>
      <w:keepNext/>
      <w:jc w:val="center"/>
      <w:outlineLvl w:val="2"/>
    </w:pPr>
    <w:rPr>
      <w:b/>
      <w:i/>
      <w:sz w:val="4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3300D"/>
    <w:rPr>
      <w:rFonts w:ascii="Times New Roman" w:eastAsia="Times New Roman" w:hAnsi="Times New Roman" w:cs="Times New Roman"/>
      <w:sz w:val="40"/>
      <w:szCs w:val="20"/>
      <w:lang w:eastAsia="pt-BR"/>
    </w:rPr>
  </w:style>
  <w:style w:type="character" w:customStyle="1" w:styleId="Ttulo2Char">
    <w:name w:val="Título 2 Char"/>
    <w:basedOn w:val="Fontepargpadro"/>
    <w:link w:val="Ttulo2"/>
    <w:semiHidden/>
    <w:rsid w:val="0013300D"/>
    <w:rPr>
      <w:rFonts w:ascii="Times New Roman" w:eastAsia="Times New Roman" w:hAnsi="Times New Roman" w:cs="Times New Roman"/>
      <w:b/>
      <w:sz w:val="40"/>
      <w:szCs w:val="20"/>
      <w:lang w:eastAsia="pt-BR"/>
    </w:rPr>
  </w:style>
  <w:style w:type="character" w:customStyle="1" w:styleId="Ttulo3Char">
    <w:name w:val="Título 3 Char"/>
    <w:basedOn w:val="Fontepargpadro"/>
    <w:link w:val="Ttulo3"/>
    <w:semiHidden/>
    <w:rsid w:val="0013300D"/>
    <w:rPr>
      <w:rFonts w:ascii="Times New Roman" w:eastAsia="Times New Roman" w:hAnsi="Times New Roman" w:cs="Times New Roman"/>
      <w:b/>
      <w:i/>
      <w:sz w:val="40"/>
      <w:szCs w:val="20"/>
      <w:lang w:eastAsia="pt-BR"/>
    </w:rPr>
  </w:style>
  <w:style w:type="paragraph" w:styleId="Corpodetexto">
    <w:name w:val="Body Text"/>
    <w:basedOn w:val="Normal"/>
    <w:link w:val="CorpodetextoChar"/>
    <w:semiHidden/>
    <w:unhideWhenUsed/>
    <w:rsid w:val="0013300D"/>
    <w:pPr>
      <w:jc w:val="both"/>
    </w:pPr>
    <w:rPr>
      <w:rFonts w:ascii="Arial" w:hAnsi="Arial"/>
      <w:szCs w:val="20"/>
    </w:rPr>
  </w:style>
  <w:style w:type="character" w:customStyle="1" w:styleId="CorpodetextoChar">
    <w:name w:val="Corpo de texto Char"/>
    <w:basedOn w:val="Fontepargpadro"/>
    <w:link w:val="Corpodetexto"/>
    <w:semiHidden/>
    <w:rsid w:val="0013300D"/>
    <w:rPr>
      <w:rFonts w:ascii="Arial" w:eastAsia="Times New Roman" w:hAnsi="Arial" w:cs="Times New Roman"/>
      <w:sz w:val="24"/>
      <w:szCs w:val="20"/>
      <w:lang w:eastAsia="pt-BR"/>
    </w:rPr>
  </w:style>
  <w:style w:type="paragraph" w:styleId="Recuodecorpodetexto">
    <w:name w:val="Body Text Indent"/>
    <w:basedOn w:val="Normal"/>
    <w:link w:val="RecuodecorpodetextoChar"/>
    <w:semiHidden/>
    <w:unhideWhenUsed/>
    <w:rsid w:val="0013300D"/>
    <w:pPr>
      <w:ind w:firstLine="1416"/>
      <w:jc w:val="both"/>
    </w:pPr>
    <w:rPr>
      <w:rFonts w:ascii="Arial" w:hAnsi="Arial"/>
      <w:szCs w:val="20"/>
    </w:rPr>
  </w:style>
  <w:style w:type="character" w:customStyle="1" w:styleId="RecuodecorpodetextoChar">
    <w:name w:val="Recuo de corpo de texto Char"/>
    <w:basedOn w:val="Fontepargpadro"/>
    <w:link w:val="Recuodecorpodetexto"/>
    <w:semiHidden/>
    <w:rsid w:val="0013300D"/>
    <w:rPr>
      <w:rFonts w:ascii="Arial" w:eastAsia="Times New Roman" w:hAnsi="Arial"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52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221</Words>
  <Characters>1199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Cláudio Roberto Velasquez</dc:creator>
  <cp:keywords/>
  <dc:description/>
  <cp:lastModifiedBy>Cláudio Roberto Velasquez</cp:lastModifiedBy>
  <cp:revision>4</cp:revision>
  <cp:lastPrinted>2017-10-20T15:41:00Z</cp:lastPrinted>
  <dcterms:created xsi:type="dcterms:W3CDTF">2017-10-20T13:20:00Z</dcterms:created>
  <dcterms:modified xsi:type="dcterms:W3CDTF">2017-10-20T15:41:00Z</dcterms:modified>
</cp:coreProperties>
</file>