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496" w:rsidRPr="00683496" w:rsidRDefault="00683496" w:rsidP="00683496">
      <w:pPr>
        <w:pStyle w:val="Ttulo"/>
        <w:rPr>
          <w:sz w:val="20"/>
          <w:szCs w:val="20"/>
        </w:rPr>
      </w:pPr>
      <w:r w:rsidRPr="00683496">
        <w:rPr>
          <w:sz w:val="20"/>
          <w:szCs w:val="20"/>
        </w:rPr>
        <w:t>CAMARA MUNICIPAL DE PORTO ALEGRE</w:t>
      </w:r>
    </w:p>
    <w:p w:rsidR="00683496" w:rsidRPr="00683496" w:rsidRDefault="00683496" w:rsidP="00683496">
      <w:pPr>
        <w:pStyle w:val="Ttulo3"/>
        <w:rPr>
          <w:rFonts w:ascii="Arial" w:hAnsi="Arial"/>
          <w:i w:val="0"/>
          <w:sz w:val="20"/>
        </w:rPr>
      </w:pPr>
      <w:r w:rsidRPr="00683496">
        <w:rPr>
          <w:rFonts w:ascii="Arial" w:hAnsi="Arial"/>
          <w:i w:val="0"/>
          <w:sz w:val="20"/>
        </w:rPr>
        <w:t>PROCURADORIA</w:t>
      </w:r>
    </w:p>
    <w:p w:rsidR="00683496" w:rsidRPr="00683496" w:rsidRDefault="00683496" w:rsidP="00683496">
      <w:pPr>
        <w:rPr>
          <w:sz w:val="20"/>
          <w:szCs w:val="20"/>
        </w:rPr>
      </w:pPr>
    </w:p>
    <w:p w:rsidR="00683496" w:rsidRPr="00683496" w:rsidRDefault="00683496" w:rsidP="00683496">
      <w:pPr>
        <w:pStyle w:val="Ttulo2"/>
        <w:rPr>
          <w:rFonts w:ascii="Arial" w:hAnsi="Arial" w:cs="Arial"/>
          <w:sz w:val="20"/>
        </w:rPr>
      </w:pPr>
      <w:r w:rsidRPr="00683496">
        <w:rPr>
          <w:rFonts w:ascii="Arial" w:hAnsi="Arial" w:cs="Arial"/>
          <w:sz w:val="20"/>
        </w:rPr>
        <w:t>PARECER Nº</w:t>
      </w:r>
      <w:r w:rsidR="002B4B5B">
        <w:rPr>
          <w:rFonts w:ascii="Arial" w:hAnsi="Arial" w:cs="Arial"/>
          <w:sz w:val="20"/>
        </w:rPr>
        <w:t xml:space="preserve"> 259/17.</w:t>
      </w:r>
    </w:p>
    <w:p w:rsidR="00683496" w:rsidRPr="00683496" w:rsidRDefault="00683496" w:rsidP="00683496">
      <w:pPr>
        <w:rPr>
          <w:sz w:val="20"/>
          <w:szCs w:val="20"/>
        </w:rPr>
      </w:pPr>
    </w:p>
    <w:p w:rsidR="00683496" w:rsidRPr="00683496" w:rsidRDefault="00683496" w:rsidP="00683496">
      <w:pPr>
        <w:rPr>
          <w:sz w:val="20"/>
          <w:szCs w:val="20"/>
        </w:rPr>
      </w:pPr>
    </w:p>
    <w:p w:rsidR="00683496" w:rsidRPr="00683496" w:rsidRDefault="00683496" w:rsidP="00683496">
      <w:pPr>
        <w:pStyle w:val="Ttulo1"/>
        <w:rPr>
          <w:rFonts w:ascii="Arial" w:hAnsi="Arial"/>
          <w:b/>
          <w:sz w:val="20"/>
        </w:rPr>
      </w:pP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002B4B5B">
        <w:rPr>
          <w:rFonts w:ascii="Arial" w:hAnsi="Arial"/>
          <w:b/>
          <w:sz w:val="20"/>
        </w:rPr>
        <w:tab/>
      </w:r>
      <w:r w:rsidRPr="00683496">
        <w:rPr>
          <w:rFonts w:ascii="Arial" w:hAnsi="Arial"/>
          <w:b/>
          <w:sz w:val="20"/>
        </w:rPr>
        <w:t xml:space="preserve">PROCESSO Nº </w:t>
      </w:r>
      <w:r w:rsidR="00DA70E5">
        <w:rPr>
          <w:rFonts w:ascii="Arial" w:hAnsi="Arial"/>
          <w:b/>
          <w:sz w:val="20"/>
        </w:rPr>
        <w:t>1311</w:t>
      </w:r>
      <w:r w:rsidRPr="00683496">
        <w:rPr>
          <w:rFonts w:ascii="Arial" w:hAnsi="Arial"/>
          <w:b/>
          <w:sz w:val="20"/>
        </w:rPr>
        <w:t>/1</w:t>
      </w:r>
      <w:r w:rsidR="00DA70E5">
        <w:rPr>
          <w:rFonts w:ascii="Arial" w:hAnsi="Arial"/>
          <w:b/>
          <w:sz w:val="20"/>
        </w:rPr>
        <w:t>7</w:t>
      </w:r>
      <w:r w:rsidRPr="00683496">
        <w:rPr>
          <w:rFonts w:ascii="Arial" w:hAnsi="Arial"/>
          <w:b/>
          <w:sz w:val="20"/>
        </w:rPr>
        <w:t>.</w:t>
      </w:r>
    </w:p>
    <w:p w:rsidR="00683496" w:rsidRPr="00683496" w:rsidRDefault="00683496" w:rsidP="00683496">
      <w:pPr>
        <w:pStyle w:val="Ttulo1"/>
        <w:rPr>
          <w:rFonts w:ascii="Arial" w:hAnsi="Arial"/>
          <w:b/>
          <w:sz w:val="20"/>
        </w:rPr>
      </w:pP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Pr="00683496">
        <w:rPr>
          <w:rFonts w:ascii="Arial" w:hAnsi="Arial"/>
          <w:b/>
          <w:sz w:val="20"/>
        </w:rPr>
        <w:tab/>
      </w:r>
      <w:r w:rsidR="002B4B5B">
        <w:rPr>
          <w:rFonts w:ascii="Arial" w:hAnsi="Arial"/>
          <w:b/>
          <w:sz w:val="20"/>
        </w:rPr>
        <w:tab/>
      </w:r>
      <w:r w:rsidRPr="00683496">
        <w:rPr>
          <w:rFonts w:ascii="Arial" w:hAnsi="Arial"/>
          <w:b/>
          <w:sz w:val="20"/>
        </w:rPr>
        <w:t xml:space="preserve">PLCE </w:t>
      </w:r>
      <w:r w:rsidR="00A251CD" w:rsidRPr="00683496">
        <w:rPr>
          <w:rFonts w:ascii="Arial" w:hAnsi="Arial"/>
          <w:b/>
          <w:sz w:val="20"/>
        </w:rPr>
        <w:t xml:space="preserve">Nº </w:t>
      </w:r>
      <w:r w:rsidR="00DA70E5">
        <w:rPr>
          <w:rFonts w:ascii="Arial" w:hAnsi="Arial"/>
          <w:b/>
          <w:sz w:val="20"/>
        </w:rPr>
        <w:t>04</w:t>
      </w:r>
      <w:r w:rsidRPr="00683496">
        <w:rPr>
          <w:rFonts w:ascii="Arial" w:hAnsi="Arial"/>
          <w:b/>
          <w:sz w:val="20"/>
        </w:rPr>
        <w:t>/1</w:t>
      </w:r>
      <w:r w:rsidR="00DA70E5">
        <w:rPr>
          <w:rFonts w:ascii="Arial" w:hAnsi="Arial"/>
          <w:b/>
          <w:sz w:val="20"/>
        </w:rPr>
        <w:t>7</w:t>
      </w:r>
      <w:bookmarkStart w:id="0" w:name="_GoBack"/>
      <w:bookmarkEnd w:id="0"/>
      <w:r w:rsidRPr="00683496">
        <w:rPr>
          <w:rFonts w:ascii="Arial" w:hAnsi="Arial"/>
          <w:b/>
          <w:sz w:val="20"/>
        </w:rPr>
        <w:t>.</w:t>
      </w:r>
    </w:p>
    <w:p w:rsidR="00683496" w:rsidRPr="00683496" w:rsidRDefault="00683496" w:rsidP="00683496">
      <w:pPr>
        <w:rPr>
          <w:b/>
          <w:sz w:val="20"/>
          <w:szCs w:val="20"/>
        </w:rPr>
      </w:pPr>
    </w:p>
    <w:p w:rsidR="00683496" w:rsidRDefault="00683496" w:rsidP="009272B5">
      <w:pPr>
        <w:pStyle w:val="Ttulo2"/>
        <w:rPr>
          <w:rFonts w:ascii="Arial" w:hAnsi="Arial" w:cs="Arial"/>
          <w:sz w:val="20"/>
        </w:rPr>
      </w:pPr>
      <w:r>
        <w:rPr>
          <w:rFonts w:ascii="Arial" w:hAnsi="Arial" w:cs="Arial"/>
          <w:sz w:val="20"/>
        </w:rPr>
        <w:tab/>
      </w:r>
      <w:r>
        <w:rPr>
          <w:rFonts w:ascii="Arial" w:hAnsi="Arial" w:cs="Arial"/>
          <w:sz w:val="20"/>
        </w:rPr>
        <w:tab/>
      </w:r>
    </w:p>
    <w:p w:rsidR="00683496" w:rsidRDefault="00683496" w:rsidP="00683496">
      <w:pPr>
        <w:jc w:val="both"/>
        <w:rPr>
          <w:rFonts w:ascii="Arial" w:hAnsi="Arial" w:cs="Arial"/>
          <w:sz w:val="20"/>
          <w:szCs w:val="20"/>
        </w:rPr>
      </w:pPr>
      <w:r>
        <w:rPr>
          <w:rFonts w:ascii="Arial" w:hAnsi="Arial" w:cs="Arial"/>
          <w:sz w:val="20"/>
          <w:szCs w:val="20"/>
        </w:rPr>
        <w:tab/>
        <w:t>É submetido a exame desta Procuradoria, para parecer prévio, o Projeto de Lei Complementar em epígrafe, que altera a Lei Complementar nº 505/2004, que fixa alíquotas de contribuição previdenciária para fins de custeio do Regime Próprio de Previdência Social dos Servidores Públicos do Município de Porto Alegre.</w:t>
      </w:r>
    </w:p>
    <w:p w:rsidR="00683496" w:rsidRDefault="00683496" w:rsidP="00683496">
      <w:pPr>
        <w:pStyle w:val="Recuodecorpodetexto"/>
        <w:spacing w:after="0"/>
        <w:ind w:left="0" w:firstLine="720"/>
        <w:jc w:val="both"/>
        <w:rPr>
          <w:rFonts w:cs="Arial"/>
          <w:sz w:val="20"/>
          <w:szCs w:val="20"/>
        </w:rPr>
      </w:pPr>
      <w:r>
        <w:rPr>
          <w:rFonts w:cs="Arial"/>
          <w:sz w:val="20"/>
          <w:szCs w:val="20"/>
        </w:rPr>
        <w:t xml:space="preserve">Consoante dispõe a Constituição República, compete ao Município </w:t>
      </w:r>
      <w:r w:rsidR="00A251CD">
        <w:rPr>
          <w:rFonts w:cs="Arial"/>
          <w:sz w:val="20"/>
          <w:szCs w:val="20"/>
        </w:rPr>
        <w:t>auto organizar-se</w:t>
      </w:r>
      <w:r>
        <w:rPr>
          <w:rFonts w:cs="Arial"/>
          <w:sz w:val="20"/>
          <w:szCs w:val="20"/>
        </w:rPr>
        <w:t xml:space="preserve"> e prestar seus serviços, e legislar sobre matérias de interesse local (arts. 18 e 30, inciso I). </w:t>
      </w:r>
    </w:p>
    <w:p w:rsidR="00683496" w:rsidRDefault="00683496" w:rsidP="00683496">
      <w:pPr>
        <w:jc w:val="both"/>
        <w:rPr>
          <w:rFonts w:ascii="Arial" w:hAnsi="Arial" w:cs="Arial"/>
          <w:sz w:val="20"/>
          <w:szCs w:val="20"/>
        </w:rPr>
      </w:pPr>
      <w:r>
        <w:rPr>
          <w:rFonts w:ascii="Arial" w:hAnsi="Arial" w:cs="Arial"/>
          <w:sz w:val="20"/>
          <w:szCs w:val="20"/>
        </w:rPr>
        <w:tab/>
        <w:t xml:space="preserve">A Constituição Estadual, no artigo 8º, declara expressamente a autonomia administrativa dos Municípios, a ser consubstanciada mediante lei orgânica própria. </w:t>
      </w:r>
    </w:p>
    <w:p w:rsidR="00683496" w:rsidRDefault="00683496" w:rsidP="00683496">
      <w:pPr>
        <w:jc w:val="both"/>
        <w:rPr>
          <w:rFonts w:ascii="Arial" w:hAnsi="Arial" w:cs="Arial"/>
          <w:sz w:val="20"/>
          <w:szCs w:val="20"/>
        </w:rPr>
      </w:pPr>
      <w:r>
        <w:rPr>
          <w:rFonts w:ascii="Arial" w:hAnsi="Arial" w:cs="Arial"/>
          <w:sz w:val="20"/>
          <w:szCs w:val="20"/>
        </w:rPr>
        <w:tab/>
        <w:t>A Lei Orgânica do Município de Porto Alegre, de forma coerente com os preceitos constitucionais antes mencionados, fixa a competência do mesmo para organizar-se administrativamente e estabelecer o regime jurídico de seus servidores (arts. 8º, inciso VI, e 9º, inciso I).</w:t>
      </w:r>
    </w:p>
    <w:p w:rsidR="00683496" w:rsidRDefault="00683496" w:rsidP="00683496">
      <w:pPr>
        <w:ind w:firstLine="708"/>
        <w:jc w:val="both"/>
        <w:rPr>
          <w:rFonts w:ascii="Arial" w:hAnsi="Arial" w:cs="Arial"/>
          <w:sz w:val="20"/>
          <w:szCs w:val="20"/>
        </w:rPr>
      </w:pPr>
      <w:r>
        <w:rPr>
          <w:rFonts w:ascii="Arial" w:hAnsi="Arial" w:cs="Arial"/>
          <w:sz w:val="20"/>
          <w:szCs w:val="20"/>
        </w:rPr>
        <w:t>A matéria objeto da proposição está inserida no âmbito de competência municipal, inexistindo óbice jurídico à tramitação, sob tal enfoque.</w:t>
      </w:r>
    </w:p>
    <w:p w:rsidR="00683496" w:rsidRDefault="00683496" w:rsidP="00683496">
      <w:pPr>
        <w:ind w:firstLine="708"/>
        <w:jc w:val="both"/>
        <w:rPr>
          <w:rFonts w:ascii="Arial" w:hAnsi="Arial" w:cs="Arial"/>
          <w:sz w:val="20"/>
          <w:szCs w:val="20"/>
        </w:rPr>
      </w:pPr>
      <w:r>
        <w:rPr>
          <w:rFonts w:ascii="Arial" w:hAnsi="Arial" w:cs="Arial"/>
          <w:sz w:val="20"/>
          <w:szCs w:val="20"/>
        </w:rPr>
        <w:t>Ressalvo, contudo, que, por força do disposto na Constituição da República, nos artigos 40</w:t>
      </w:r>
      <w:r w:rsidR="00A60BA8">
        <w:rPr>
          <w:rFonts w:ascii="Arial" w:hAnsi="Arial" w:cs="Arial"/>
          <w:sz w:val="20"/>
          <w:szCs w:val="20"/>
        </w:rPr>
        <w:t xml:space="preserve">, 150, inciso IV, e </w:t>
      </w:r>
      <w:r>
        <w:rPr>
          <w:rFonts w:ascii="Arial" w:hAnsi="Arial" w:cs="Arial"/>
          <w:sz w:val="20"/>
          <w:szCs w:val="20"/>
        </w:rPr>
        <w:t xml:space="preserve">  195, § 5ª,</w:t>
      </w:r>
      <w:r w:rsidR="00A60BA8">
        <w:rPr>
          <w:rFonts w:ascii="Arial" w:hAnsi="Arial" w:cs="Arial"/>
          <w:sz w:val="20"/>
          <w:szCs w:val="20"/>
        </w:rPr>
        <w:t xml:space="preserve"> </w:t>
      </w:r>
      <w:r>
        <w:rPr>
          <w:rFonts w:ascii="Arial" w:hAnsi="Arial" w:cs="Arial"/>
          <w:sz w:val="20"/>
          <w:szCs w:val="20"/>
        </w:rPr>
        <w:t xml:space="preserve">a alteração de alíquotas de contribuições previdenciárias de regimes próprios de previdência de servidores públicos exige prévio cálculo atuarial, </w:t>
      </w:r>
      <w:r w:rsidR="00BF60A7">
        <w:rPr>
          <w:rFonts w:ascii="Arial" w:hAnsi="Arial" w:cs="Arial"/>
          <w:sz w:val="20"/>
          <w:szCs w:val="20"/>
        </w:rPr>
        <w:t>apto para</w:t>
      </w:r>
      <w:r>
        <w:rPr>
          <w:rFonts w:ascii="Arial" w:hAnsi="Arial" w:cs="Arial"/>
          <w:sz w:val="20"/>
          <w:szCs w:val="20"/>
        </w:rPr>
        <w:t xml:space="preserve"> demonstrar a preservação do equilíbrio financeiro e atuarial,  a correlação entre o valor a contribuição e a correspondente fonte de custeio</w:t>
      </w:r>
      <w:r w:rsidR="00A60BA8">
        <w:rPr>
          <w:rFonts w:ascii="Arial" w:hAnsi="Arial" w:cs="Arial"/>
          <w:sz w:val="20"/>
          <w:szCs w:val="20"/>
        </w:rPr>
        <w:t xml:space="preserve">, </w:t>
      </w:r>
      <w:r>
        <w:rPr>
          <w:rFonts w:ascii="Arial" w:hAnsi="Arial" w:cs="Arial"/>
          <w:sz w:val="20"/>
          <w:szCs w:val="20"/>
        </w:rPr>
        <w:t xml:space="preserve"> </w:t>
      </w:r>
      <w:r w:rsidR="00A60BA8">
        <w:rPr>
          <w:rFonts w:ascii="Arial" w:hAnsi="Arial" w:cs="Arial"/>
          <w:sz w:val="20"/>
          <w:szCs w:val="20"/>
        </w:rPr>
        <w:t>bem como</w:t>
      </w:r>
      <w:r>
        <w:rPr>
          <w:rFonts w:ascii="Arial" w:hAnsi="Arial" w:cs="Arial"/>
          <w:sz w:val="20"/>
          <w:szCs w:val="20"/>
        </w:rPr>
        <w:t xml:space="preserve"> a não caracterização de desvio de finalidade e/ou utilização </w:t>
      </w:r>
      <w:r w:rsidR="00A60BA8">
        <w:rPr>
          <w:rFonts w:ascii="Arial" w:hAnsi="Arial" w:cs="Arial"/>
          <w:sz w:val="20"/>
          <w:szCs w:val="20"/>
        </w:rPr>
        <w:t>do tributo com efeito de confisco.</w:t>
      </w:r>
    </w:p>
    <w:p w:rsidR="00683496" w:rsidRDefault="00A60BA8" w:rsidP="00683496">
      <w:pPr>
        <w:ind w:firstLine="708"/>
        <w:jc w:val="both"/>
        <w:rPr>
          <w:rFonts w:ascii="Arial" w:hAnsi="Arial" w:cs="Arial"/>
          <w:sz w:val="20"/>
          <w:szCs w:val="20"/>
        </w:rPr>
      </w:pPr>
      <w:r>
        <w:rPr>
          <w:rFonts w:ascii="Arial" w:hAnsi="Arial" w:cs="Arial"/>
          <w:sz w:val="20"/>
          <w:szCs w:val="20"/>
        </w:rPr>
        <w:t xml:space="preserve">Essa é a orientação </w:t>
      </w:r>
      <w:r w:rsidR="009272B5">
        <w:rPr>
          <w:rFonts w:ascii="Arial" w:hAnsi="Arial" w:cs="Arial"/>
          <w:sz w:val="20"/>
          <w:szCs w:val="20"/>
        </w:rPr>
        <w:t>da jurisprudência</w:t>
      </w:r>
      <w:r>
        <w:rPr>
          <w:rFonts w:ascii="Arial" w:hAnsi="Arial" w:cs="Arial"/>
          <w:sz w:val="20"/>
          <w:szCs w:val="20"/>
        </w:rPr>
        <w:t>, consoante evidencia o aresto a seguir transcrito, por ementa:</w:t>
      </w:r>
    </w:p>
    <w:p w:rsidR="00A60BA8" w:rsidRDefault="00A60BA8" w:rsidP="00683496">
      <w:pPr>
        <w:ind w:firstLine="708"/>
        <w:jc w:val="both"/>
        <w:rPr>
          <w:rFonts w:ascii="Arial" w:hAnsi="Arial" w:cs="Arial"/>
          <w:sz w:val="20"/>
          <w:szCs w:val="20"/>
        </w:rPr>
      </w:pPr>
    </w:p>
    <w:p w:rsidR="007E6D65" w:rsidRDefault="00A251CD" w:rsidP="00A671D4">
      <w:pPr>
        <w:ind w:left="709" w:hanging="1"/>
        <w:jc w:val="both"/>
        <w:rPr>
          <w:rFonts w:ascii="Arial" w:hAnsi="Arial" w:cs="Arial"/>
          <w:sz w:val="16"/>
          <w:szCs w:val="16"/>
        </w:rPr>
      </w:pPr>
      <w:r>
        <w:rPr>
          <w:rFonts w:ascii="Arial" w:hAnsi="Arial" w:cs="Arial"/>
          <w:sz w:val="16"/>
          <w:szCs w:val="16"/>
        </w:rPr>
        <w:t>EMENTA: A</w:t>
      </w:r>
      <w:r w:rsidR="00A671D4" w:rsidRPr="00A671D4">
        <w:rPr>
          <w:rFonts w:ascii="Arial" w:hAnsi="Arial" w:cs="Arial"/>
          <w:sz w:val="16"/>
          <w:szCs w:val="16"/>
        </w:rPr>
        <w:t>ÇÃ</w:t>
      </w:r>
      <w:r w:rsidRPr="00A671D4">
        <w:rPr>
          <w:rFonts w:ascii="Arial" w:hAnsi="Arial" w:cs="Arial"/>
          <w:sz w:val="16"/>
          <w:szCs w:val="16"/>
        </w:rPr>
        <w:t>O</w:t>
      </w:r>
      <w:r>
        <w:rPr>
          <w:rFonts w:ascii="Arial" w:hAnsi="Arial" w:cs="Arial"/>
          <w:sz w:val="16"/>
          <w:szCs w:val="16"/>
        </w:rPr>
        <w:t xml:space="preserve"> </w:t>
      </w:r>
      <w:r w:rsidRPr="00A671D4">
        <w:rPr>
          <w:rFonts w:ascii="Arial" w:hAnsi="Arial" w:cs="Arial"/>
          <w:sz w:val="16"/>
          <w:szCs w:val="16"/>
        </w:rPr>
        <w:t>D</w:t>
      </w:r>
      <w:r w:rsidR="00A671D4" w:rsidRPr="00A671D4">
        <w:rPr>
          <w:rFonts w:ascii="Arial" w:hAnsi="Arial" w:cs="Arial"/>
          <w:sz w:val="16"/>
          <w:szCs w:val="16"/>
        </w:rPr>
        <w:t>IRET</w:t>
      </w:r>
      <w:r w:rsidRPr="00A671D4">
        <w:rPr>
          <w:rFonts w:ascii="Arial" w:hAnsi="Arial" w:cs="Arial"/>
          <w:sz w:val="16"/>
          <w:szCs w:val="16"/>
        </w:rPr>
        <w:t>A</w:t>
      </w:r>
      <w:r>
        <w:rPr>
          <w:rFonts w:ascii="Arial" w:hAnsi="Arial" w:cs="Arial"/>
          <w:sz w:val="16"/>
          <w:szCs w:val="16"/>
        </w:rPr>
        <w:t xml:space="preserve"> </w:t>
      </w:r>
      <w:r w:rsidRPr="00A671D4">
        <w:rPr>
          <w:rFonts w:ascii="Arial" w:hAnsi="Arial" w:cs="Arial"/>
          <w:sz w:val="16"/>
          <w:szCs w:val="16"/>
        </w:rPr>
        <w:t>DE</w:t>
      </w:r>
      <w:r>
        <w:rPr>
          <w:rFonts w:ascii="Arial" w:hAnsi="Arial" w:cs="Arial"/>
          <w:sz w:val="16"/>
          <w:szCs w:val="16"/>
        </w:rPr>
        <w:t xml:space="preserve"> </w:t>
      </w:r>
      <w:r w:rsidRPr="00A671D4">
        <w:rPr>
          <w:rFonts w:ascii="Arial" w:hAnsi="Arial" w:cs="Arial"/>
          <w:sz w:val="16"/>
          <w:szCs w:val="16"/>
        </w:rPr>
        <w:t>I</w:t>
      </w:r>
      <w:r>
        <w:rPr>
          <w:rFonts w:ascii="Arial" w:hAnsi="Arial" w:cs="Arial"/>
          <w:sz w:val="16"/>
          <w:szCs w:val="16"/>
        </w:rPr>
        <w:t>N</w:t>
      </w:r>
      <w:r w:rsidR="00A671D4" w:rsidRPr="00A671D4">
        <w:rPr>
          <w:rFonts w:ascii="Arial" w:hAnsi="Arial" w:cs="Arial"/>
          <w:sz w:val="16"/>
          <w:szCs w:val="16"/>
        </w:rPr>
        <w:t>CONSTITUCIONALIDADE. L</w:t>
      </w:r>
      <w:r>
        <w:rPr>
          <w:rFonts w:ascii="Arial" w:hAnsi="Arial" w:cs="Arial"/>
          <w:sz w:val="16"/>
          <w:szCs w:val="16"/>
        </w:rPr>
        <w:t>E</w:t>
      </w:r>
      <w:r w:rsidR="00A671D4" w:rsidRPr="00A671D4">
        <w:rPr>
          <w:rFonts w:ascii="Arial" w:hAnsi="Arial" w:cs="Arial"/>
          <w:sz w:val="16"/>
          <w:szCs w:val="16"/>
        </w:rPr>
        <w:t>I COMPLEMENTAR ESTADUAL Nº 100/2012. MAJORAÇÃO DA ALÍQUOTA DA CONTRIBUIÇÃO PREVIDENCIÁRIA DO REGIME PRÓPRIO DE PREVIDÊNCIA SOCIAL DO ESTADO DE GOIÁS. AUSÊNCIA DO ESTUDO ATUARIAL. JUSTIFICATIVA NA REDUÇÃO DO DÉFICIT PREVIDÊNCIÁRIO. AFRONTA AOS PRINCÍPIOS DA RAZOABILIDADE, DA VEDAÇÃO DA UTILIZAÇÃO DE TRIBUTOS PARA EFEITO DE CONFISCO (ARTS. 92 E 102, IV, DA CONSTITUIÇÃO ESTADUAL) E DA CORRELAÇÃO. LEI DECLARADA INCONSTITUCIONAL. MODULAÇÃO DOS EFEITOS. EX NUNC.</w:t>
      </w:r>
    </w:p>
    <w:p w:rsidR="007E6D65" w:rsidRDefault="00A671D4" w:rsidP="00A671D4">
      <w:pPr>
        <w:ind w:left="709" w:hanging="1"/>
        <w:jc w:val="both"/>
        <w:rPr>
          <w:rFonts w:ascii="Arial" w:hAnsi="Arial" w:cs="Arial"/>
          <w:sz w:val="16"/>
          <w:szCs w:val="16"/>
        </w:rPr>
      </w:pPr>
      <w:r w:rsidRPr="00A671D4">
        <w:rPr>
          <w:rFonts w:ascii="Arial" w:hAnsi="Arial" w:cs="Arial"/>
          <w:sz w:val="16"/>
          <w:szCs w:val="16"/>
        </w:rPr>
        <w:t xml:space="preserve"> I - A contribuição previdenciária, por força de sua natureza de tributo, subordina-se aos princípios constitucionais gerais de direito tributário e em especial aos princípios da correlação (art. </w:t>
      </w:r>
      <w:r w:rsidR="00A251CD" w:rsidRPr="00A671D4">
        <w:rPr>
          <w:rFonts w:ascii="Arial" w:hAnsi="Arial" w:cs="Arial"/>
          <w:sz w:val="16"/>
          <w:szCs w:val="16"/>
        </w:rPr>
        <w:t>195,</w:t>
      </w:r>
      <w:r w:rsidRPr="00A671D4">
        <w:rPr>
          <w:rFonts w:ascii="Arial" w:hAnsi="Arial" w:cs="Arial"/>
          <w:sz w:val="16"/>
          <w:szCs w:val="16"/>
        </w:rPr>
        <w:t xml:space="preserve"> § 5</w:t>
      </w:r>
      <w:r w:rsidR="00A251CD" w:rsidRPr="00A671D4">
        <w:rPr>
          <w:rFonts w:ascii="Arial" w:hAnsi="Arial" w:cs="Arial"/>
          <w:sz w:val="16"/>
          <w:szCs w:val="16"/>
        </w:rPr>
        <w:t>º,</w:t>
      </w:r>
      <w:r w:rsidRPr="00A671D4">
        <w:rPr>
          <w:rFonts w:ascii="Arial" w:hAnsi="Arial" w:cs="Arial"/>
          <w:sz w:val="16"/>
          <w:szCs w:val="16"/>
        </w:rPr>
        <w:t xml:space="preserve"> da CF), da finalidade (art. </w:t>
      </w:r>
      <w:r w:rsidR="00A251CD" w:rsidRPr="00A671D4">
        <w:rPr>
          <w:rFonts w:ascii="Arial" w:hAnsi="Arial" w:cs="Arial"/>
          <w:sz w:val="16"/>
          <w:szCs w:val="16"/>
        </w:rPr>
        <w:t>149,</w:t>
      </w:r>
      <w:r w:rsidRPr="00A671D4">
        <w:rPr>
          <w:rFonts w:ascii="Arial" w:hAnsi="Arial" w:cs="Arial"/>
          <w:sz w:val="16"/>
          <w:szCs w:val="16"/>
        </w:rPr>
        <w:t xml:space="preserve"> § 1</w:t>
      </w:r>
      <w:r w:rsidR="00A251CD" w:rsidRPr="00A671D4">
        <w:rPr>
          <w:rFonts w:ascii="Arial" w:hAnsi="Arial" w:cs="Arial"/>
          <w:sz w:val="16"/>
          <w:szCs w:val="16"/>
        </w:rPr>
        <w:t>º,</w:t>
      </w:r>
      <w:r w:rsidRPr="00A671D4">
        <w:rPr>
          <w:rFonts w:ascii="Arial" w:hAnsi="Arial" w:cs="Arial"/>
          <w:sz w:val="16"/>
          <w:szCs w:val="16"/>
        </w:rPr>
        <w:t xml:space="preserve"> da CF), do equilíbrio financeiro e atuarial (art. 40 da CF) e da vedação ao confisco (art. </w:t>
      </w:r>
      <w:r w:rsidR="00A251CD" w:rsidRPr="00A671D4">
        <w:rPr>
          <w:rFonts w:ascii="Arial" w:hAnsi="Arial" w:cs="Arial"/>
          <w:sz w:val="16"/>
          <w:szCs w:val="16"/>
        </w:rPr>
        <w:t>150,</w:t>
      </w:r>
      <w:r w:rsidRPr="00A671D4">
        <w:rPr>
          <w:rFonts w:ascii="Arial" w:hAnsi="Arial" w:cs="Arial"/>
          <w:sz w:val="16"/>
          <w:szCs w:val="16"/>
        </w:rPr>
        <w:t xml:space="preserve"> inciso </w:t>
      </w:r>
      <w:r w:rsidR="00A251CD" w:rsidRPr="00A671D4">
        <w:rPr>
          <w:rFonts w:ascii="Arial" w:hAnsi="Arial" w:cs="Arial"/>
          <w:sz w:val="16"/>
          <w:szCs w:val="16"/>
        </w:rPr>
        <w:t>IV,</w:t>
      </w:r>
      <w:r w:rsidRPr="00A671D4">
        <w:rPr>
          <w:rFonts w:ascii="Arial" w:hAnsi="Arial" w:cs="Arial"/>
          <w:sz w:val="16"/>
          <w:szCs w:val="16"/>
        </w:rPr>
        <w:t xml:space="preserve"> da CF). E, por ser assim, a majoração da alíquota da contribuição previdenciária deve vir amparada em cálculo atuarial, o que não foi observado no caso em comento ocorrendo aí o vício formal. </w:t>
      </w:r>
    </w:p>
    <w:p w:rsidR="007E6D65" w:rsidRDefault="00A671D4" w:rsidP="00A671D4">
      <w:pPr>
        <w:ind w:left="709" w:hanging="1"/>
        <w:jc w:val="both"/>
        <w:rPr>
          <w:rFonts w:ascii="Arial" w:hAnsi="Arial" w:cs="Arial"/>
          <w:sz w:val="16"/>
          <w:szCs w:val="16"/>
        </w:rPr>
      </w:pPr>
      <w:r w:rsidRPr="00A671D4">
        <w:rPr>
          <w:rFonts w:ascii="Arial" w:hAnsi="Arial" w:cs="Arial"/>
          <w:sz w:val="16"/>
          <w:szCs w:val="16"/>
        </w:rPr>
        <w:t>II - Ademais, a exposição de motivos e os argumentos apresentados pelo Sr. Governador do Estado, que acompanharam o Projeto de Lei, abalam a norma legal, porquanto, além de ter deixado de observar os critérios que preservam o equilíbrio financeiro e atuarial, ofendem os arts</w:t>
      </w:r>
      <w:r w:rsidR="007E6D65">
        <w:rPr>
          <w:rFonts w:ascii="Arial" w:hAnsi="Arial" w:cs="Arial"/>
          <w:sz w:val="16"/>
          <w:szCs w:val="16"/>
        </w:rPr>
        <w:t>. 92 e 102, IV, da Constituição</w:t>
      </w:r>
      <w:r w:rsidRPr="00A671D4">
        <w:rPr>
          <w:rFonts w:ascii="Arial" w:hAnsi="Arial" w:cs="Arial"/>
          <w:sz w:val="16"/>
          <w:szCs w:val="16"/>
        </w:rPr>
        <w:t xml:space="preserve">, uma vez que a alegação de redução do déficit previdenciário para a formação de recursos outros que não a proteção à seguridade social, tem caráter de confisco, o que é vedado constitucionalmente pelos princípios da razoabilidade e da vedação da utilização de tributos para efeito de confisco. </w:t>
      </w:r>
    </w:p>
    <w:p w:rsidR="00A60BA8" w:rsidRDefault="00A671D4" w:rsidP="00A671D4">
      <w:pPr>
        <w:ind w:left="709" w:hanging="1"/>
        <w:jc w:val="both"/>
      </w:pPr>
      <w:r w:rsidRPr="00A671D4">
        <w:rPr>
          <w:rFonts w:ascii="Arial" w:hAnsi="Arial" w:cs="Arial"/>
          <w:sz w:val="16"/>
          <w:szCs w:val="16"/>
        </w:rPr>
        <w:t xml:space="preserve">III - Sem causa suficiente e não observada a apresentação do cálculo atuarial para fins de vinculação da contribuição, não se justifica a majoração da alíquota de contribuição de seguridade social, uma vez que no regime de previdência de caráter contributivo e solidário, deve haver correlação entre custo e benefício, conforme já assentou o STF na ADI 8 MC/DF. </w:t>
      </w:r>
      <w:r w:rsidR="009257DB" w:rsidRPr="00A671D4">
        <w:rPr>
          <w:rFonts w:ascii="Arial" w:hAnsi="Arial" w:cs="Arial"/>
          <w:sz w:val="16"/>
          <w:szCs w:val="16"/>
        </w:rPr>
        <w:t xml:space="preserve">Ação </w:t>
      </w:r>
      <w:r w:rsidR="009257DB">
        <w:rPr>
          <w:rFonts w:ascii="Arial" w:hAnsi="Arial" w:cs="Arial"/>
          <w:sz w:val="16"/>
          <w:szCs w:val="16"/>
        </w:rPr>
        <w:t>D</w:t>
      </w:r>
      <w:r w:rsidR="009257DB" w:rsidRPr="00A671D4">
        <w:rPr>
          <w:rFonts w:ascii="Arial" w:hAnsi="Arial" w:cs="Arial"/>
          <w:sz w:val="16"/>
          <w:szCs w:val="16"/>
        </w:rPr>
        <w:t xml:space="preserve">ireta de </w:t>
      </w:r>
      <w:r w:rsidR="009257DB">
        <w:rPr>
          <w:rFonts w:ascii="Arial" w:hAnsi="Arial" w:cs="Arial"/>
          <w:sz w:val="16"/>
          <w:szCs w:val="16"/>
        </w:rPr>
        <w:t>I</w:t>
      </w:r>
      <w:r w:rsidR="009257DB" w:rsidRPr="00A671D4">
        <w:rPr>
          <w:rFonts w:ascii="Arial" w:hAnsi="Arial" w:cs="Arial"/>
          <w:sz w:val="16"/>
          <w:szCs w:val="16"/>
        </w:rPr>
        <w:t xml:space="preserve">nconstitucionalidade julgada </w:t>
      </w:r>
      <w:r w:rsidR="00A251CD" w:rsidRPr="00A671D4">
        <w:rPr>
          <w:rFonts w:ascii="Arial" w:hAnsi="Arial" w:cs="Arial"/>
          <w:sz w:val="16"/>
          <w:szCs w:val="16"/>
        </w:rPr>
        <w:t>procedente.</w:t>
      </w:r>
      <w:r w:rsidR="00A251CD">
        <w:rPr>
          <w:rFonts w:ascii="Arial" w:hAnsi="Arial" w:cs="Arial"/>
          <w:sz w:val="16"/>
          <w:szCs w:val="16"/>
        </w:rPr>
        <w:t xml:space="preserve"> ”</w:t>
      </w:r>
      <w:r w:rsidR="009257DB">
        <w:rPr>
          <w:rFonts w:ascii="Arial" w:hAnsi="Arial" w:cs="Arial"/>
          <w:sz w:val="16"/>
          <w:szCs w:val="16"/>
        </w:rPr>
        <w:t xml:space="preserve">  ADI  92447, TJ GO, Relator Leobino Valente Chaves, j. 23.04.14</w:t>
      </w:r>
      <w:r w:rsidR="007E6D65">
        <w:t xml:space="preserve"> </w:t>
      </w:r>
    </w:p>
    <w:p w:rsidR="009257DB" w:rsidRDefault="009257DB" w:rsidP="00A671D4">
      <w:pPr>
        <w:ind w:left="709" w:hanging="1"/>
        <w:jc w:val="both"/>
      </w:pPr>
    </w:p>
    <w:p w:rsidR="009257DB" w:rsidRPr="009257DB" w:rsidRDefault="009257DB" w:rsidP="009257DB">
      <w:pPr>
        <w:ind w:left="709" w:firstLine="707"/>
        <w:jc w:val="both"/>
        <w:rPr>
          <w:rFonts w:ascii="Arial" w:hAnsi="Arial" w:cs="Arial"/>
          <w:sz w:val="20"/>
          <w:szCs w:val="20"/>
        </w:rPr>
      </w:pPr>
      <w:r>
        <w:rPr>
          <w:rFonts w:ascii="Arial" w:hAnsi="Arial" w:cs="Arial"/>
          <w:sz w:val="20"/>
          <w:szCs w:val="20"/>
        </w:rPr>
        <w:t xml:space="preserve">O projeto de lei, por majorar alíquota previdenciária sem </w:t>
      </w:r>
      <w:r w:rsidR="009272B5">
        <w:rPr>
          <w:rFonts w:ascii="Arial" w:hAnsi="Arial" w:cs="Arial"/>
          <w:sz w:val="20"/>
          <w:szCs w:val="20"/>
        </w:rPr>
        <w:t>o devido</w:t>
      </w:r>
      <w:r>
        <w:rPr>
          <w:rFonts w:ascii="Arial" w:hAnsi="Arial" w:cs="Arial"/>
          <w:sz w:val="20"/>
          <w:szCs w:val="20"/>
        </w:rPr>
        <w:t xml:space="preserve"> cálculo atuarial</w:t>
      </w:r>
      <w:r w:rsidR="00570E6B">
        <w:rPr>
          <w:rFonts w:ascii="Arial" w:hAnsi="Arial" w:cs="Arial"/>
          <w:sz w:val="20"/>
          <w:szCs w:val="20"/>
        </w:rPr>
        <w:t xml:space="preserve"> e </w:t>
      </w:r>
      <w:r w:rsidR="00263BA4">
        <w:rPr>
          <w:rFonts w:ascii="Arial" w:hAnsi="Arial" w:cs="Arial"/>
          <w:sz w:val="20"/>
          <w:szCs w:val="20"/>
        </w:rPr>
        <w:t xml:space="preserve">sem </w:t>
      </w:r>
      <w:r w:rsidR="00570E6B">
        <w:rPr>
          <w:rFonts w:ascii="Arial" w:hAnsi="Arial" w:cs="Arial"/>
          <w:sz w:val="20"/>
          <w:szCs w:val="20"/>
        </w:rPr>
        <w:t>demonstração de sua causa suficiente</w:t>
      </w:r>
      <w:r>
        <w:rPr>
          <w:rFonts w:ascii="Arial" w:hAnsi="Arial" w:cs="Arial"/>
          <w:sz w:val="20"/>
          <w:szCs w:val="20"/>
        </w:rPr>
        <w:t>, com a devida vênia, incide em violação aos preceitos constitucionais antes indicados.</w:t>
      </w:r>
    </w:p>
    <w:p w:rsidR="00683496" w:rsidRDefault="009257DB" w:rsidP="00683496">
      <w:pPr>
        <w:pStyle w:val="Recuodecorpodetexto"/>
        <w:rPr>
          <w:sz w:val="20"/>
          <w:szCs w:val="20"/>
        </w:rPr>
      </w:pPr>
      <w:r>
        <w:rPr>
          <w:sz w:val="20"/>
          <w:szCs w:val="20"/>
        </w:rPr>
        <w:tab/>
      </w:r>
      <w:r w:rsidR="00683496">
        <w:rPr>
          <w:sz w:val="20"/>
          <w:szCs w:val="20"/>
        </w:rPr>
        <w:tab/>
        <w:t xml:space="preserve"> É o parecer,</w:t>
      </w:r>
      <w:r w:rsidR="00683496">
        <w:rPr>
          <w:i/>
          <w:sz w:val="20"/>
          <w:szCs w:val="20"/>
        </w:rPr>
        <w:t xml:space="preserve"> sub censura</w:t>
      </w:r>
      <w:r w:rsidR="00683496">
        <w:rPr>
          <w:sz w:val="20"/>
          <w:szCs w:val="20"/>
        </w:rPr>
        <w:t>.</w:t>
      </w:r>
    </w:p>
    <w:p w:rsidR="00683496" w:rsidRDefault="00683496" w:rsidP="009257DB">
      <w:pPr>
        <w:ind w:left="708" w:firstLine="708"/>
        <w:jc w:val="both"/>
        <w:rPr>
          <w:rFonts w:ascii="Arial" w:hAnsi="Arial" w:cs="Arial"/>
          <w:sz w:val="20"/>
          <w:szCs w:val="20"/>
        </w:rPr>
      </w:pPr>
      <w:r>
        <w:rPr>
          <w:rFonts w:ascii="Arial" w:hAnsi="Arial" w:cs="Arial"/>
          <w:sz w:val="20"/>
          <w:szCs w:val="20"/>
        </w:rPr>
        <w:t>Á Diretoria Legislativa para os devidos fins.</w:t>
      </w:r>
    </w:p>
    <w:p w:rsidR="00683496" w:rsidRDefault="00683496" w:rsidP="009257DB">
      <w:pPr>
        <w:pStyle w:val="Corpodetexto"/>
        <w:ind w:left="708" w:right="-288" w:firstLine="708"/>
        <w:rPr>
          <w:sz w:val="20"/>
        </w:rPr>
      </w:pPr>
      <w:r>
        <w:rPr>
          <w:sz w:val="20"/>
        </w:rPr>
        <w:t xml:space="preserve">Em </w:t>
      </w:r>
      <w:r w:rsidR="009257DB">
        <w:rPr>
          <w:sz w:val="20"/>
        </w:rPr>
        <w:t>17</w:t>
      </w:r>
      <w:r>
        <w:rPr>
          <w:sz w:val="20"/>
        </w:rPr>
        <w:t xml:space="preserve"> de </w:t>
      </w:r>
      <w:r w:rsidR="009257DB">
        <w:rPr>
          <w:sz w:val="20"/>
        </w:rPr>
        <w:t>maio</w:t>
      </w:r>
      <w:r>
        <w:rPr>
          <w:sz w:val="20"/>
        </w:rPr>
        <w:t xml:space="preserve"> de 2.01</w:t>
      </w:r>
      <w:r w:rsidR="009257DB">
        <w:rPr>
          <w:sz w:val="20"/>
        </w:rPr>
        <w:t>7</w:t>
      </w:r>
      <w:r>
        <w:rPr>
          <w:sz w:val="20"/>
        </w:rPr>
        <w:t>.</w:t>
      </w:r>
    </w:p>
    <w:p w:rsidR="00683496" w:rsidRDefault="00683496" w:rsidP="00683496">
      <w:pPr>
        <w:pStyle w:val="Corpodetexto"/>
        <w:ind w:firstLine="1418"/>
        <w:rPr>
          <w:sz w:val="20"/>
        </w:rPr>
      </w:pPr>
    </w:p>
    <w:p w:rsidR="00683496" w:rsidRDefault="00683496" w:rsidP="00683496">
      <w:pPr>
        <w:pStyle w:val="Corpodetexto"/>
        <w:ind w:firstLine="1418"/>
        <w:rPr>
          <w:i/>
          <w:sz w:val="20"/>
        </w:rPr>
      </w:pPr>
    </w:p>
    <w:p w:rsidR="009272B5" w:rsidRDefault="009272B5" w:rsidP="00683496">
      <w:pPr>
        <w:pStyle w:val="Corpodetexto"/>
        <w:ind w:firstLine="1418"/>
        <w:rPr>
          <w:i/>
          <w:sz w:val="20"/>
        </w:rPr>
      </w:pPr>
    </w:p>
    <w:p w:rsidR="00683496" w:rsidRDefault="00683496" w:rsidP="009272B5">
      <w:pPr>
        <w:ind w:left="282" w:firstLine="1134"/>
        <w:rPr>
          <w:rFonts w:ascii="Arial" w:hAnsi="Arial" w:cs="Arial"/>
          <w:sz w:val="20"/>
          <w:szCs w:val="20"/>
        </w:rPr>
      </w:pPr>
      <w:r>
        <w:rPr>
          <w:rFonts w:ascii="Arial" w:hAnsi="Arial" w:cs="Arial"/>
          <w:sz w:val="20"/>
          <w:szCs w:val="20"/>
        </w:rPr>
        <w:t xml:space="preserve"> Claudio Roberto Velasquez</w:t>
      </w:r>
    </w:p>
    <w:p w:rsidR="00F4209E" w:rsidRDefault="009272B5" w:rsidP="009272B5">
      <w:pPr>
        <w:ind w:firstLine="1134"/>
      </w:pPr>
      <w:r>
        <w:rPr>
          <w:rFonts w:ascii="Arial" w:hAnsi="Arial" w:cs="Arial"/>
          <w:sz w:val="16"/>
          <w:szCs w:val="16"/>
        </w:rPr>
        <w:t xml:space="preserve"> </w:t>
      </w:r>
      <w:r>
        <w:rPr>
          <w:rFonts w:ascii="Arial" w:hAnsi="Arial" w:cs="Arial"/>
          <w:sz w:val="16"/>
          <w:szCs w:val="16"/>
        </w:rPr>
        <w:tab/>
      </w:r>
      <w:r w:rsidR="00683496">
        <w:rPr>
          <w:rFonts w:ascii="Arial" w:hAnsi="Arial" w:cs="Arial"/>
          <w:sz w:val="16"/>
          <w:szCs w:val="16"/>
        </w:rPr>
        <w:t>Procurador-Geral–OAB/RS 18.594</w:t>
      </w:r>
      <w:r w:rsidR="00683496">
        <w:rPr>
          <w:rFonts w:ascii="Arial" w:hAnsi="Arial" w:cs="Arial"/>
          <w:sz w:val="16"/>
          <w:szCs w:val="16"/>
        </w:rPr>
        <w:tab/>
      </w:r>
    </w:p>
    <w:sectPr w:rsidR="00F4209E" w:rsidSect="001C27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96"/>
    <w:rsid w:val="001C2727"/>
    <w:rsid w:val="00263BA4"/>
    <w:rsid w:val="002B34DD"/>
    <w:rsid w:val="002B4B5B"/>
    <w:rsid w:val="003F2B62"/>
    <w:rsid w:val="00570E6B"/>
    <w:rsid w:val="00683496"/>
    <w:rsid w:val="007530B3"/>
    <w:rsid w:val="00753A44"/>
    <w:rsid w:val="007E6D65"/>
    <w:rsid w:val="009257DB"/>
    <w:rsid w:val="009272B5"/>
    <w:rsid w:val="00974FC9"/>
    <w:rsid w:val="00A251CD"/>
    <w:rsid w:val="00A60BA8"/>
    <w:rsid w:val="00A671D4"/>
    <w:rsid w:val="00BF60A7"/>
    <w:rsid w:val="00DA70E5"/>
    <w:rsid w:val="00F529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BF419-C5EE-4C0C-AEA0-03E0240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49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83496"/>
    <w:pPr>
      <w:keepNext/>
      <w:outlineLvl w:val="0"/>
    </w:pPr>
    <w:rPr>
      <w:sz w:val="40"/>
      <w:szCs w:val="20"/>
    </w:rPr>
  </w:style>
  <w:style w:type="paragraph" w:styleId="Ttulo2">
    <w:name w:val="heading 2"/>
    <w:basedOn w:val="Normal"/>
    <w:next w:val="Normal"/>
    <w:link w:val="Ttulo2Char"/>
    <w:unhideWhenUsed/>
    <w:qFormat/>
    <w:rsid w:val="00683496"/>
    <w:pPr>
      <w:keepNext/>
      <w:outlineLvl w:val="1"/>
    </w:pPr>
    <w:rPr>
      <w:b/>
      <w:sz w:val="40"/>
      <w:szCs w:val="20"/>
    </w:rPr>
  </w:style>
  <w:style w:type="paragraph" w:styleId="Ttulo3">
    <w:name w:val="heading 3"/>
    <w:basedOn w:val="Normal"/>
    <w:next w:val="Normal"/>
    <w:link w:val="Ttulo3Char"/>
    <w:semiHidden/>
    <w:unhideWhenUsed/>
    <w:qFormat/>
    <w:rsid w:val="00683496"/>
    <w:pPr>
      <w:keepNext/>
      <w:jc w:val="center"/>
      <w:outlineLvl w:val="2"/>
    </w:pPr>
    <w:rPr>
      <w:b/>
      <w:i/>
      <w:sz w:val="4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3496"/>
    <w:rPr>
      <w:rFonts w:ascii="Times New Roman" w:eastAsia="Times New Roman" w:hAnsi="Times New Roman" w:cs="Times New Roman"/>
      <w:sz w:val="40"/>
      <w:szCs w:val="20"/>
      <w:lang w:eastAsia="pt-BR"/>
    </w:rPr>
  </w:style>
  <w:style w:type="character" w:customStyle="1" w:styleId="Ttulo2Char">
    <w:name w:val="Título 2 Char"/>
    <w:basedOn w:val="Fontepargpadro"/>
    <w:link w:val="Ttulo2"/>
    <w:rsid w:val="00683496"/>
    <w:rPr>
      <w:rFonts w:ascii="Times New Roman" w:eastAsia="Times New Roman" w:hAnsi="Times New Roman" w:cs="Times New Roman"/>
      <w:b/>
      <w:sz w:val="40"/>
      <w:szCs w:val="20"/>
      <w:lang w:eastAsia="pt-BR"/>
    </w:rPr>
  </w:style>
  <w:style w:type="character" w:customStyle="1" w:styleId="Ttulo3Char">
    <w:name w:val="Título 3 Char"/>
    <w:basedOn w:val="Fontepargpadro"/>
    <w:link w:val="Ttulo3"/>
    <w:semiHidden/>
    <w:rsid w:val="00683496"/>
    <w:rPr>
      <w:rFonts w:ascii="Times New Roman" w:eastAsia="Times New Roman" w:hAnsi="Times New Roman" w:cs="Times New Roman"/>
      <w:b/>
      <w:i/>
      <w:sz w:val="40"/>
      <w:szCs w:val="20"/>
      <w:lang w:eastAsia="pt-BR"/>
    </w:rPr>
  </w:style>
  <w:style w:type="paragraph" w:styleId="Ttulo">
    <w:name w:val="Title"/>
    <w:basedOn w:val="Normal"/>
    <w:link w:val="TtuloChar"/>
    <w:qFormat/>
    <w:rsid w:val="00683496"/>
    <w:pPr>
      <w:jc w:val="center"/>
    </w:pPr>
    <w:rPr>
      <w:rFonts w:ascii="Arial" w:hAnsi="Arial"/>
      <w:b/>
      <w:sz w:val="32"/>
    </w:rPr>
  </w:style>
  <w:style w:type="character" w:customStyle="1" w:styleId="TtuloChar">
    <w:name w:val="Título Char"/>
    <w:basedOn w:val="Fontepargpadro"/>
    <w:link w:val="Ttulo"/>
    <w:rsid w:val="00683496"/>
    <w:rPr>
      <w:rFonts w:ascii="Arial" w:eastAsia="Times New Roman" w:hAnsi="Arial" w:cs="Times New Roman"/>
      <w:b/>
      <w:sz w:val="32"/>
      <w:szCs w:val="24"/>
      <w:lang w:eastAsia="pt-BR"/>
    </w:rPr>
  </w:style>
  <w:style w:type="paragraph" w:styleId="Corpodetexto">
    <w:name w:val="Body Text"/>
    <w:basedOn w:val="Normal"/>
    <w:link w:val="CorpodetextoChar"/>
    <w:semiHidden/>
    <w:unhideWhenUsed/>
    <w:rsid w:val="00683496"/>
    <w:rPr>
      <w:rFonts w:ascii="Arial" w:hAnsi="Arial"/>
      <w:szCs w:val="20"/>
    </w:rPr>
  </w:style>
  <w:style w:type="character" w:customStyle="1" w:styleId="CorpodetextoChar">
    <w:name w:val="Corpo de texto Char"/>
    <w:basedOn w:val="Fontepargpadro"/>
    <w:link w:val="Corpodetexto"/>
    <w:semiHidden/>
    <w:rsid w:val="00683496"/>
    <w:rPr>
      <w:rFonts w:ascii="Arial" w:eastAsia="Times New Roman" w:hAnsi="Arial" w:cs="Times New Roman"/>
      <w:sz w:val="24"/>
      <w:szCs w:val="20"/>
      <w:lang w:eastAsia="pt-BR"/>
    </w:rPr>
  </w:style>
  <w:style w:type="paragraph" w:styleId="Recuodecorpodetexto">
    <w:name w:val="Body Text Indent"/>
    <w:basedOn w:val="Normal"/>
    <w:link w:val="RecuodecorpodetextoChar"/>
    <w:semiHidden/>
    <w:unhideWhenUsed/>
    <w:rsid w:val="00683496"/>
    <w:pPr>
      <w:spacing w:after="120"/>
      <w:ind w:left="283"/>
    </w:pPr>
    <w:rPr>
      <w:rFonts w:ascii="Arial" w:hAnsi="Arial"/>
    </w:rPr>
  </w:style>
  <w:style w:type="character" w:customStyle="1" w:styleId="RecuodecorpodetextoChar">
    <w:name w:val="Recuo de corpo de texto Char"/>
    <w:basedOn w:val="Fontepargpadro"/>
    <w:link w:val="Recuodecorpodetexto"/>
    <w:semiHidden/>
    <w:rsid w:val="00683496"/>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974FC9"/>
    <w:rPr>
      <w:rFonts w:ascii="Segoe UI" w:hAnsi="Segoe UI" w:cs="Segoe UI"/>
      <w:sz w:val="18"/>
      <w:szCs w:val="18"/>
    </w:rPr>
  </w:style>
  <w:style w:type="character" w:customStyle="1" w:styleId="TextodebaloChar">
    <w:name w:val="Texto de balão Char"/>
    <w:basedOn w:val="Fontepargpadro"/>
    <w:link w:val="Textodebalo"/>
    <w:uiPriority w:val="99"/>
    <w:semiHidden/>
    <w:rsid w:val="00974FC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1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677</Words>
  <Characters>3659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14</cp:revision>
  <cp:lastPrinted>2017-05-17T13:04:00Z</cp:lastPrinted>
  <dcterms:created xsi:type="dcterms:W3CDTF">2017-05-16T19:04:00Z</dcterms:created>
  <dcterms:modified xsi:type="dcterms:W3CDTF">2017-06-21T19:14:00Z</dcterms:modified>
</cp:coreProperties>
</file>