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F24" w:rsidRDefault="00B71F24" w:rsidP="00B71F24">
      <w:pPr>
        <w:pStyle w:val="Cabealh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CÂMARA MUNICIPAL DE PORTO ALEGRE</w:t>
      </w:r>
    </w:p>
    <w:p w:rsidR="00B71F24" w:rsidRDefault="00B71F24" w:rsidP="00B71F24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PROCURADORIA</w:t>
      </w:r>
    </w:p>
    <w:p w:rsidR="00B71F24" w:rsidRDefault="00B71F24" w:rsidP="00B71F24">
      <w:pPr>
        <w:ind w:left="4536"/>
        <w:jc w:val="center"/>
        <w:rPr>
          <w:b/>
          <w:sz w:val="20"/>
          <w:szCs w:val="20"/>
        </w:rPr>
      </w:pPr>
    </w:p>
    <w:p w:rsidR="00B71F24" w:rsidRDefault="00B71F24" w:rsidP="00B71F24">
      <w:pPr>
        <w:ind w:left="4536"/>
        <w:jc w:val="center"/>
        <w:rPr>
          <w:b/>
          <w:sz w:val="20"/>
          <w:szCs w:val="20"/>
        </w:rPr>
      </w:pPr>
    </w:p>
    <w:p w:rsidR="00B71F24" w:rsidRDefault="00B71F24" w:rsidP="00B71F24">
      <w:pPr>
        <w:rPr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PARECER Nº</w:t>
      </w:r>
      <w:r w:rsidR="00352C5F">
        <w:rPr>
          <w:rFonts w:ascii="Arial" w:hAnsi="Arial"/>
          <w:b/>
          <w:sz w:val="20"/>
          <w:szCs w:val="20"/>
        </w:rPr>
        <w:t xml:space="preserve"> 371/17.</w:t>
      </w:r>
      <w:bookmarkStart w:id="0" w:name="_GoBack"/>
      <w:bookmarkEnd w:id="0"/>
    </w:p>
    <w:p w:rsidR="00B71F24" w:rsidRDefault="00B71F24" w:rsidP="00B71F24">
      <w:pPr>
        <w:ind w:left="4536"/>
        <w:jc w:val="center"/>
        <w:rPr>
          <w:b/>
          <w:sz w:val="20"/>
          <w:szCs w:val="20"/>
        </w:rPr>
      </w:pPr>
    </w:p>
    <w:p w:rsidR="00B71F24" w:rsidRDefault="00B71F24" w:rsidP="00B71F24">
      <w:pPr>
        <w:ind w:left="4536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PROCESSO Nº </w:t>
      </w:r>
      <w:r>
        <w:rPr>
          <w:rFonts w:ascii="Arial" w:hAnsi="Arial"/>
          <w:b/>
          <w:sz w:val="20"/>
          <w:szCs w:val="20"/>
        </w:rPr>
        <w:t>1455</w:t>
      </w:r>
      <w:r>
        <w:rPr>
          <w:rFonts w:ascii="Arial" w:hAnsi="Arial"/>
          <w:b/>
          <w:sz w:val="20"/>
          <w:szCs w:val="20"/>
        </w:rPr>
        <w:t>/1</w:t>
      </w:r>
      <w:r>
        <w:rPr>
          <w:rFonts w:ascii="Arial" w:hAnsi="Arial"/>
          <w:b/>
          <w:sz w:val="20"/>
          <w:szCs w:val="20"/>
        </w:rPr>
        <w:t>7</w:t>
      </w:r>
      <w:r>
        <w:rPr>
          <w:rFonts w:ascii="Arial" w:hAnsi="Arial"/>
          <w:b/>
          <w:sz w:val="20"/>
          <w:szCs w:val="20"/>
        </w:rPr>
        <w:t>.</w:t>
      </w:r>
    </w:p>
    <w:p w:rsidR="00B71F24" w:rsidRDefault="00B71F24" w:rsidP="00B71F24">
      <w:pPr>
        <w:ind w:left="4536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PLL Nº 188</w:t>
      </w:r>
      <w:r>
        <w:rPr>
          <w:rFonts w:ascii="Arial" w:hAnsi="Arial"/>
          <w:b/>
          <w:sz w:val="20"/>
          <w:szCs w:val="20"/>
        </w:rPr>
        <w:t>/1</w:t>
      </w:r>
      <w:r>
        <w:rPr>
          <w:rFonts w:ascii="Arial" w:hAnsi="Arial"/>
          <w:b/>
          <w:sz w:val="20"/>
          <w:szCs w:val="20"/>
        </w:rPr>
        <w:t>7</w:t>
      </w:r>
      <w:r>
        <w:rPr>
          <w:rFonts w:ascii="Arial" w:hAnsi="Arial"/>
          <w:b/>
          <w:sz w:val="20"/>
          <w:szCs w:val="20"/>
        </w:rPr>
        <w:t>.</w:t>
      </w:r>
    </w:p>
    <w:p w:rsidR="00B71F24" w:rsidRDefault="00B71F24" w:rsidP="00B71F24">
      <w:pPr>
        <w:ind w:left="4536"/>
        <w:jc w:val="center"/>
        <w:rPr>
          <w:b/>
          <w:sz w:val="20"/>
          <w:szCs w:val="20"/>
        </w:rPr>
      </w:pPr>
    </w:p>
    <w:p w:rsidR="00B71F24" w:rsidRDefault="00B71F24" w:rsidP="00B71F24">
      <w:pPr>
        <w:rPr>
          <w:b/>
          <w:sz w:val="20"/>
          <w:szCs w:val="20"/>
        </w:rPr>
      </w:pPr>
    </w:p>
    <w:p w:rsidR="00B71F24" w:rsidRDefault="00B71F24" w:rsidP="00B71F24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É submetido a exame desta Procuradoria, para parecer prévio, o Projeto de Lei do Legislativo em referência, que altera a Lei nº 8.279, de 20 de janeiro de 1999, e alterações posteriores, que disciplina o uso do Mobiliário Urbano e Veículos Publicitários no Município, </w:t>
      </w:r>
      <w:r>
        <w:rPr>
          <w:rFonts w:ascii="Arial" w:hAnsi="Arial"/>
          <w:sz w:val="20"/>
          <w:szCs w:val="20"/>
        </w:rPr>
        <w:t>proibindo a colocação ou fixa</w:t>
      </w:r>
      <w:r>
        <w:rPr>
          <w:rFonts w:ascii="Arial" w:hAnsi="Arial"/>
          <w:sz w:val="20"/>
          <w:szCs w:val="20"/>
        </w:rPr>
        <w:t xml:space="preserve">ção </w:t>
      </w:r>
      <w:r>
        <w:rPr>
          <w:rFonts w:ascii="Arial" w:hAnsi="Arial"/>
          <w:sz w:val="20"/>
          <w:szCs w:val="20"/>
        </w:rPr>
        <w:t>de veículos de divulgação que exponham, divulguem ou estimulem a violência sexual, o estupro ou a violência contra a mulher, bem como fomentem a misoginia ou sexismo</w:t>
      </w:r>
      <w:r>
        <w:rPr>
          <w:rFonts w:ascii="Arial" w:hAnsi="Arial"/>
          <w:sz w:val="20"/>
          <w:szCs w:val="20"/>
        </w:rPr>
        <w:t>.</w:t>
      </w:r>
    </w:p>
    <w:p w:rsidR="00B71F24" w:rsidRDefault="00B71F24" w:rsidP="00B71F2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Por força do que dispõe a Constituição da República, no artigo 30, incisos I e VIII, é de competência do Município legislar sobre assuntos de interesse local e promover adequado ordenamento territorial.</w:t>
      </w:r>
    </w:p>
    <w:p w:rsidR="00B71F24" w:rsidRDefault="00B71F24" w:rsidP="00B71F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Constituição do Estado do RGS, no artigo 13, inciso I, declara a competência do Município para exercer o poder de polícia administrativa nas matérias de interesse local.</w:t>
      </w:r>
      <w:r>
        <w:rPr>
          <w:rFonts w:ascii="Arial" w:hAnsi="Arial" w:cs="Arial"/>
          <w:sz w:val="20"/>
          <w:szCs w:val="20"/>
        </w:rPr>
        <w:tab/>
      </w:r>
    </w:p>
    <w:p w:rsidR="00B71F24" w:rsidRDefault="00B71F24" w:rsidP="00B71F2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A Lei Orgânica declara a competência do Município de Porto Alegre para prover tudo quanto concerne ao interesse local, para promover o adequado ordenamento territorial e estabelecer as limitações urbanísticas convenientes à organização de seu território, e para regulamentar, autorizar e fiscalizar a fixação de cartazes e anúncios publicitários (artigos 8º, incisos X, XI e XIV, e 9º, inciso II).</w:t>
      </w:r>
    </w:p>
    <w:p w:rsidR="00B71F24" w:rsidRDefault="00B71F24" w:rsidP="00B71F2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A matéria objeto da proposição se insere no âmbito de competência municipal, inexistindo óbice jurídico à tramitação.</w:t>
      </w:r>
    </w:p>
    <w:p w:rsidR="00B71F24" w:rsidRDefault="00B71F24" w:rsidP="00B71F24">
      <w:pPr>
        <w:jc w:val="both"/>
        <w:rPr>
          <w:rFonts w:ascii="Arial" w:hAnsi="Arial"/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É o parecer, </w:t>
      </w:r>
      <w:r>
        <w:rPr>
          <w:rFonts w:ascii="Arial" w:hAnsi="Arial"/>
          <w:i/>
          <w:sz w:val="20"/>
          <w:szCs w:val="20"/>
        </w:rPr>
        <w:t>sub censura.</w:t>
      </w:r>
    </w:p>
    <w:p w:rsidR="00B71F24" w:rsidRDefault="00B71F24" w:rsidP="00B71F24">
      <w:pPr>
        <w:pStyle w:val="Corpodetexto"/>
        <w:ind w:firstLine="1418"/>
        <w:rPr>
          <w:sz w:val="20"/>
        </w:rPr>
      </w:pPr>
    </w:p>
    <w:p w:rsidR="00B71F24" w:rsidRDefault="00B71F24" w:rsidP="00B71F24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B71F24" w:rsidRDefault="00B71F24" w:rsidP="00B71F24">
      <w:pPr>
        <w:pStyle w:val="Corpodetexto"/>
        <w:ind w:firstLine="708"/>
        <w:rPr>
          <w:sz w:val="20"/>
        </w:rPr>
      </w:pPr>
      <w:r>
        <w:rPr>
          <w:sz w:val="20"/>
        </w:rPr>
        <w:t>Em 19</w:t>
      </w:r>
      <w:r>
        <w:rPr>
          <w:sz w:val="20"/>
        </w:rPr>
        <w:t xml:space="preserve"> de </w:t>
      </w:r>
      <w:r>
        <w:rPr>
          <w:sz w:val="20"/>
        </w:rPr>
        <w:t>junho</w:t>
      </w:r>
      <w:r>
        <w:rPr>
          <w:sz w:val="20"/>
        </w:rPr>
        <w:t xml:space="preserve"> de 2.01</w:t>
      </w:r>
      <w:r>
        <w:rPr>
          <w:sz w:val="20"/>
        </w:rPr>
        <w:t>7</w:t>
      </w:r>
      <w:r>
        <w:rPr>
          <w:sz w:val="20"/>
        </w:rPr>
        <w:t>.</w:t>
      </w:r>
    </w:p>
    <w:p w:rsidR="00B71F24" w:rsidRDefault="00B71F24" w:rsidP="00B71F24">
      <w:pPr>
        <w:rPr>
          <w:rFonts w:ascii="Arial" w:hAnsi="Arial" w:cs="Arial"/>
          <w:sz w:val="20"/>
          <w:szCs w:val="20"/>
        </w:rPr>
      </w:pPr>
    </w:p>
    <w:p w:rsidR="00B71F24" w:rsidRDefault="00B71F24" w:rsidP="00B71F24">
      <w:pPr>
        <w:rPr>
          <w:rFonts w:ascii="Arial" w:hAnsi="Arial" w:cs="Arial"/>
          <w:sz w:val="20"/>
          <w:szCs w:val="20"/>
        </w:rPr>
      </w:pPr>
    </w:p>
    <w:p w:rsidR="00B71F24" w:rsidRDefault="00B71F24" w:rsidP="00B71F24">
      <w:pPr>
        <w:rPr>
          <w:rFonts w:ascii="Arial" w:hAnsi="Arial" w:cs="Arial"/>
          <w:sz w:val="20"/>
          <w:szCs w:val="20"/>
        </w:rPr>
      </w:pPr>
    </w:p>
    <w:p w:rsidR="00B71F24" w:rsidRDefault="00B71F24" w:rsidP="00B71F24">
      <w:pPr>
        <w:rPr>
          <w:rFonts w:ascii="Arial" w:hAnsi="Arial" w:cs="Arial"/>
          <w:sz w:val="20"/>
          <w:szCs w:val="20"/>
        </w:rPr>
      </w:pPr>
    </w:p>
    <w:p w:rsidR="00B71F24" w:rsidRDefault="00B71F24" w:rsidP="00B71F24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Claudio Roberto Velasquez</w:t>
      </w:r>
    </w:p>
    <w:p w:rsidR="00B71F24" w:rsidRDefault="00B71F24" w:rsidP="00B71F24">
      <w:pPr>
        <w:ind w:firstLine="708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Procurador-Geral-OAB/RS 18.594</w:t>
      </w:r>
    </w:p>
    <w:p w:rsidR="00B71F24" w:rsidRDefault="00B71F24" w:rsidP="00B71F24">
      <w:pPr>
        <w:rPr>
          <w:rFonts w:ascii="Arial" w:hAnsi="Arial" w:cs="Arial"/>
          <w:sz w:val="20"/>
          <w:szCs w:val="20"/>
        </w:rPr>
      </w:pPr>
    </w:p>
    <w:p w:rsidR="00B71F24" w:rsidRDefault="00B71F24" w:rsidP="00B71F24">
      <w:p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71F24" w:rsidRDefault="00B71F24" w:rsidP="00B71F24">
      <w:pPr>
        <w:rPr>
          <w:sz w:val="20"/>
          <w:szCs w:val="20"/>
        </w:rPr>
      </w:pPr>
    </w:p>
    <w:p w:rsidR="00B71F24" w:rsidRDefault="00B71F24" w:rsidP="00B71F24">
      <w:pPr>
        <w:rPr>
          <w:sz w:val="20"/>
          <w:szCs w:val="20"/>
        </w:rPr>
      </w:pPr>
    </w:p>
    <w:p w:rsidR="00F4209E" w:rsidRDefault="00352C5F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24"/>
    <w:rsid w:val="001C2727"/>
    <w:rsid w:val="002B34DD"/>
    <w:rsid w:val="00352C5F"/>
    <w:rsid w:val="00753A44"/>
    <w:rsid w:val="00B7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6F09B-AEA2-464E-8F22-19B31F6C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B71F24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B71F2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B71F24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71F2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71F24"/>
    <w:pPr>
      <w:overflowPunct w:val="0"/>
      <w:autoSpaceDE w:val="0"/>
      <w:autoSpaceDN w:val="0"/>
      <w:adjustRightInd w:val="0"/>
      <w:spacing w:after="120"/>
      <w:ind w:left="283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1F24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2017-06-19T18:39:00Z</dcterms:created>
  <dcterms:modified xsi:type="dcterms:W3CDTF">2017-06-19T18:46:00Z</dcterms:modified>
</cp:coreProperties>
</file>