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C6" w:rsidRPr="00F042C6" w:rsidRDefault="00F042C6" w:rsidP="00F042C6">
      <w:pPr>
        <w:widowControl w:val="0"/>
        <w:tabs>
          <w:tab w:val="right" w:pos="9356"/>
        </w:tabs>
        <w:spacing w:after="0" w:line="240" w:lineRule="auto"/>
        <w:rPr>
          <w:rFonts w:ascii="Times New Roman" w:eastAsia="Calibri"/>
          <w:sz w:val="24"/>
          <w:szCs w:val="24"/>
        </w:rPr>
      </w:pPr>
      <w:r w:rsidRPr="00F042C6">
        <w:rPr>
          <w:rFonts w:ascii="Times New Roman" w:eastAsia="Calibri"/>
          <w:sz w:val="24"/>
          <w:szCs w:val="24"/>
        </w:rPr>
        <w:t xml:space="preserve">Of. nº            /GP. </w:t>
      </w:r>
      <w:r w:rsidRPr="00F042C6">
        <w:rPr>
          <w:rFonts w:ascii="Times New Roman" w:eastAsia="Calibri"/>
          <w:sz w:val="24"/>
          <w:szCs w:val="24"/>
        </w:rPr>
        <w:tab/>
        <w:t xml:space="preserve">Porto Alegre,        de </w:t>
      </w:r>
      <w:r w:rsidR="0095159D">
        <w:rPr>
          <w:rFonts w:ascii="Times New Roman" w:eastAsia="Calibri"/>
          <w:sz w:val="24"/>
          <w:szCs w:val="24"/>
        </w:rPr>
        <w:t>junho</w:t>
      </w:r>
      <w:bookmarkStart w:id="0" w:name="_GoBack"/>
      <w:bookmarkEnd w:id="0"/>
      <w:r w:rsidRPr="00F042C6">
        <w:rPr>
          <w:rFonts w:ascii="Times New Roman" w:eastAsia="Calibri"/>
          <w:sz w:val="24"/>
          <w:szCs w:val="24"/>
        </w:rPr>
        <w:t xml:space="preserve"> de 2017.</w:t>
      </w:r>
    </w:p>
    <w:p w:rsidR="00F042C6" w:rsidRPr="00F042C6" w:rsidRDefault="00F042C6" w:rsidP="00F042C6">
      <w:pPr>
        <w:widowControl w:val="0"/>
        <w:tabs>
          <w:tab w:val="left" w:pos="2160"/>
        </w:tabs>
        <w:spacing w:after="0" w:line="240" w:lineRule="auto"/>
        <w:ind w:firstLine="1418"/>
        <w:rPr>
          <w:rFonts w:ascii="Times New Roman" w:eastAsia="Calibri"/>
          <w:sz w:val="24"/>
          <w:szCs w:val="24"/>
        </w:rPr>
      </w:pPr>
    </w:p>
    <w:p w:rsidR="00F042C6" w:rsidRPr="00F042C6" w:rsidRDefault="00F042C6" w:rsidP="00F042C6">
      <w:pPr>
        <w:widowControl w:val="0"/>
        <w:tabs>
          <w:tab w:val="left" w:pos="2160"/>
        </w:tabs>
        <w:spacing w:after="0" w:line="240" w:lineRule="auto"/>
        <w:ind w:firstLine="1418"/>
        <w:rPr>
          <w:rFonts w:ascii="Times New Roman" w:eastAsia="Calibri"/>
          <w:sz w:val="24"/>
          <w:szCs w:val="24"/>
        </w:rPr>
      </w:pPr>
    </w:p>
    <w:p w:rsidR="00F042C6" w:rsidRPr="00F042C6" w:rsidRDefault="00F042C6" w:rsidP="00F042C6">
      <w:pPr>
        <w:widowControl w:val="0"/>
        <w:tabs>
          <w:tab w:val="left" w:pos="2160"/>
        </w:tabs>
        <w:spacing w:after="0" w:line="240" w:lineRule="auto"/>
        <w:ind w:firstLine="1418"/>
        <w:rPr>
          <w:rFonts w:ascii="Times New Roman" w:eastAsia="Calibri"/>
          <w:sz w:val="24"/>
          <w:szCs w:val="24"/>
        </w:rPr>
      </w:pPr>
    </w:p>
    <w:p w:rsidR="00F042C6" w:rsidRPr="00F042C6" w:rsidRDefault="00F042C6" w:rsidP="00F042C6">
      <w:pPr>
        <w:widowControl w:val="0"/>
        <w:tabs>
          <w:tab w:val="left" w:pos="2160"/>
        </w:tabs>
        <w:spacing w:after="0" w:line="240" w:lineRule="auto"/>
        <w:ind w:firstLine="1418"/>
        <w:rPr>
          <w:rFonts w:ascii="Times New Roman" w:eastAsia="Calibri"/>
          <w:sz w:val="24"/>
          <w:szCs w:val="24"/>
        </w:rPr>
      </w:pPr>
    </w:p>
    <w:p w:rsidR="00F042C6" w:rsidRPr="00F042C6" w:rsidRDefault="00F042C6" w:rsidP="00F042C6">
      <w:pPr>
        <w:widowControl w:val="0"/>
        <w:tabs>
          <w:tab w:val="left" w:pos="2160"/>
        </w:tabs>
        <w:spacing w:after="0" w:line="240" w:lineRule="auto"/>
        <w:ind w:firstLine="1418"/>
        <w:rPr>
          <w:rFonts w:ascii="Times New Roman" w:eastAsia="Calibri"/>
          <w:sz w:val="24"/>
          <w:szCs w:val="24"/>
        </w:rPr>
      </w:pPr>
    </w:p>
    <w:p w:rsidR="00F042C6" w:rsidRPr="00F042C6" w:rsidRDefault="00F042C6" w:rsidP="00F042C6">
      <w:pPr>
        <w:widowControl w:val="0"/>
        <w:tabs>
          <w:tab w:val="left" w:pos="2160"/>
        </w:tabs>
        <w:spacing w:after="0" w:line="240" w:lineRule="auto"/>
        <w:ind w:firstLine="2127"/>
        <w:rPr>
          <w:rFonts w:ascii="Times New Roman" w:eastAsia="Calibri"/>
          <w:sz w:val="24"/>
          <w:szCs w:val="24"/>
        </w:rPr>
      </w:pPr>
      <w:r w:rsidRPr="00F042C6">
        <w:rPr>
          <w:rFonts w:ascii="Times New Roman" w:eastAsia="Calibri"/>
          <w:sz w:val="24"/>
          <w:szCs w:val="24"/>
        </w:rPr>
        <w:t>Senhor Presidente:</w:t>
      </w:r>
    </w:p>
    <w:p w:rsidR="00F042C6" w:rsidRPr="00F042C6" w:rsidRDefault="00F042C6" w:rsidP="00F042C6">
      <w:pPr>
        <w:widowControl w:val="0"/>
        <w:tabs>
          <w:tab w:val="left" w:pos="2160"/>
        </w:tabs>
        <w:spacing w:after="0" w:line="240" w:lineRule="auto"/>
        <w:ind w:firstLine="2127"/>
        <w:rPr>
          <w:rFonts w:ascii="Times New Roman" w:eastAsia="Calibri"/>
          <w:sz w:val="24"/>
          <w:szCs w:val="24"/>
        </w:rPr>
      </w:pPr>
    </w:p>
    <w:p w:rsidR="00F042C6" w:rsidRPr="00F042C6" w:rsidRDefault="00F042C6" w:rsidP="00F042C6">
      <w:pPr>
        <w:spacing w:after="0" w:line="240" w:lineRule="auto"/>
        <w:ind w:firstLine="2127"/>
        <w:rPr>
          <w:rFonts w:ascii="Times New Roman"/>
          <w:sz w:val="24"/>
          <w:szCs w:val="24"/>
          <w:lang w:eastAsia="pt-BR"/>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t>É com imensa satisfação que encaminho a Vossa Excelência e seus Dignos Pares o presente Projeto de Lei, que tem por objetivo obter autorização, desse Poder Legislativo, para a transferência de bens imóveis pertencentes ao Município de Porto Alegre ao Departamento Municipal de Previdência dos Servidores Públicos do Município de Porto Alegre (PREVIMPA) para cobertura de déficit atuarial.</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t xml:space="preserve">O presente Projeto de Lei tem por alicerce as dificuldades financeiras que atingem o Município de Porto Alegre, assim como todo o país, e a existência na estrutura no PREVIMPA de uma Unidade de Gestão de Ativos Imobiliários, a qual é responsável por gerir e rentabilizar a carteira de imóveis do PREVIMPA, para o regime capitalizado e a alta liquidez do Departamento. </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sz w:val="24"/>
          <w:szCs w:val="24"/>
          <w:lang w:eastAsia="pt-BR"/>
        </w:rPr>
      </w:pPr>
      <w:r w:rsidRPr="00F042C6">
        <w:rPr>
          <w:rFonts w:ascii="Times New Roman" w:eastAsia="Calibri"/>
          <w:sz w:val="24"/>
          <w:szCs w:val="24"/>
        </w:rPr>
        <w:t xml:space="preserve">O </w:t>
      </w:r>
      <w:r w:rsidRPr="00F042C6">
        <w:rPr>
          <w:rFonts w:ascii="Times New Roman"/>
          <w:sz w:val="24"/>
          <w:szCs w:val="24"/>
          <w:lang w:eastAsia="pt-BR"/>
        </w:rPr>
        <w:t>repasse de imóveis possibilitará a diversificação dos investimentos e a possibilidade de investimentos na economia local gerando emprego e renda para o próprio Município de Porto Alegre.</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t xml:space="preserve">O aporte de imóveis dar-se-á em montantes que não poderão ultrapassar, a partir da entrada em vigor da presente lei, a 8% (oito por cento) nos primeiros </w:t>
      </w:r>
      <w:proofErr w:type="gramStart"/>
      <w:r w:rsidRPr="00F042C6">
        <w:rPr>
          <w:rFonts w:ascii="Times New Roman" w:eastAsia="Calibri"/>
          <w:sz w:val="24"/>
          <w:szCs w:val="24"/>
        </w:rPr>
        <w:t>5</w:t>
      </w:r>
      <w:proofErr w:type="gramEnd"/>
      <w:r w:rsidRPr="00F042C6">
        <w:rPr>
          <w:rFonts w:ascii="Times New Roman" w:eastAsia="Calibri"/>
          <w:sz w:val="24"/>
          <w:szCs w:val="24"/>
        </w:rPr>
        <w:t xml:space="preserve"> (cinco) anos, a 6% (seis por cento) nos 5 (cinco) anos subsequentes, e a 5% (cinco por cento) nos demais anos subsequentes, todos calculados com base no patrimônio líquido do regime capitalizado, constante na Avaliação Atuarial do exercício anterior. </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t>O custeio do Regime Próprio de Previdência Social dos Servidores Públicos do Município de Porto Alegre (RPPS) está regulado na Lei Complementar nº 478, de 26 de dezembro de 2002, que dispõe sobre o PREVIMPA e disciplina o regime próprio de previdência social dos servidores do Município de Porto Alegre, e, em especial, na Lei Complementar nº 505, de 28 de maio de 2004, a qual fixa alíquotas de contribuição previdenciária para fins de custeio do RPPS destes servidores.</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jc w:val="both"/>
        <w:rPr>
          <w:rFonts w:ascii="Times New Roman" w:eastAsia="Calibri"/>
          <w:sz w:val="24"/>
          <w:szCs w:val="24"/>
          <w:lang w:eastAsia="pt-BR"/>
        </w:rPr>
      </w:pPr>
    </w:p>
    <w:p w:rsidR="00F042C6" w:rsidRPr="00F042C6" w:rsidRDefault="00F042C6" w:rsidP="00F042C6">
      <w:pPr>
        <w:spacing w:after="0" w:line="240" w:lineRule="auto"/>
        <w:jc w:val="both"/>
        <w:rPr>
          <w:rFonts w:ascii="Times New Roman" w:eastAsia="Calibri"/>
          <w:sz w:val="24"/>
          <w:szCs w:val="24"/>
          <w:lang w:eastAsia="pt-BR"/>
        </w:rPr>
      </w:pPr>
      <w:r w:rsidRPr="00F042C6">
        <w:rPr>
          <w:rFonts w:ascii="Times New Roman" w:eastAsia="Calibri"/>
          <w:sz w:val="24"/>
          <w:szCs w:val="24"/>
          <w:lang w:eastAsia="pt-BR"/>
        </w:rPr>
        <w:t xml:space="preserve">A Sua Excelência, o Vereador Cássio </w:t>
      </w:r>
      <w:proofErr w:type="spellStart"/>
      <w:r w:rsidRPr="00F042C6">
        <w:rPr>
          <w:rFonts w:ascii="Times New Roman" w:eastAsia="Calibri"/>
          <w:sz w:val="24"/>
          <w:szCs w:val="24"/>
          <w:lang w:eastAsia="pt-BR"/>
        </w:rPr>
        <w:t>Trogildo</w:t>
      </w:r>
      <w:proofErr w:type="spellEnd"/>
      <w:r w:rsidRPr="00F042C6">
        <w:rPr>
          <w:rFonts w:ascii="Times New Roman" w:eastAsia="Calibri"/>
          <w:sz w:val="24"/>
          <w:szCs w:val="24"/>
          <w:lang w:eastAsia="pt-BR"/>
        </w:rPr>
        <w:t>,</w:t>
      </w:r>
    </w:p>
    <w:p w:rsidR="00F042C6" w:rsidRPr="00F042C6" w:rsidRDefault="00F042C6" w:rsidP="00F042C6">
      <w:pPr>
        <w:spacing w:after="0" w:line="240" w:lineRule="auto"/>
        <w:jc w:val="both"/>
        <w:rPr>
          <w:rFonts w:ascii="Times New Roman" w:eastAsia="Calibri"/>
          <w:sz w:val="24"/>
          <w:szCs w:val="24"/>
        </w:rPr>
      </w:pPr>
      <w:r w:rsidRPr="00F042C6">
        <w:rPr>
          <w:rFonts w:ascii="Times New Roman" w:eastAsia="Calibri"/>
          <w:sz w:val="24"/>
          <w:szCs w:val="24"/>
          <w:lang w:eastAsia="pt-BR"/>
        </w:rPr>
        <w:t>Presidente da Câmara Municipal de Porto Alegre.</w:t>
      </w: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br w:type="page"/>
      </w:r>
      <w:r w:rsidRPr="00F042C6">
        <w:rPr>
          <w:rFonts w:ascii="Times New Roman" w:eastAsia="Calibri"/>
          <w:sz w:val="24"/>
          <w:szCs w:val="24"/>
        </w:rPr>
        <w:lastRenderedPageBreak/>
        <w:t>Oportuno salientar que, além dos referidos diplomas, a proposta encontra azo na Lei Federal nº 9.717, de 27 de novembro de 1998, na Portaria nº 402, de 2008 do Ministério da Previdência Social, na Resolução 3922, de 2010, do Conselho Monetário Nacional e na Orientação Normativa nº 02, de 2009, da Secretaria de Políticas de Previdência Social do Ministério da Previdência Social.</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roofErr w:type="gramStart"/>
      <w:r w:rsidRPr="00F042C6">
        <w:rPr>
          <w:rFonts w:ascii="Times New Roman" w:eastAsia="Calibri"/>
          <w:sz w:val="24"/>
          <w:szCs w:val="24"/>
        </w:rPr>
        <w:t>Isto posto</w:t>
      </w:r>
      <w:proofErr w:type="gramEnd"/>
      <w:r w:rsidRPr="00F042C6">
        <w:rPr>
          <w:rFonts w:ascii="Times New Roman" w:eastAsia="Calibri"/>
          <w:sz w:val="24"/>
          <w:szCs w:val="24"/>
        </w:rPr>
        <w:t>, Senhor Presidente, dirijo-me respeitosamente a Vossa Excelência e a esta colenda Casa requerendo especial atenção ao presente Projeto de Lei, aguardando breve tramitação legislativa e a necessária aprovação da matéria.</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r w:rsidRPr="00F042C6">
        <w:rPr>
          <w:rFonts w:ascii="Times New Roman" w:eastAsia="Calibri"/>
          <w:sz w:val="24"/>
          <w:szCs w:val="24"/>
        </w:rPr>
        <w:t>Atenciosas saudações,</w:t>
      </w: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127"/>
        <w:jc w:val="both"/>
        <w:rPr>
          <w:rFonts w:ascii="Times New Roman" w:eastAsia="Calibri"/>
          <w:sz w:val="24"/>
          <w:szCs w:val="24"/>
        </w:rPr>
      </w:pPr>
    </w:p>
    <w:p w:rsidR="00F042C6" w:rsidRPr="00F042C6" w:rsidRDefault="00F042C6" w:rsidP="00F042C6">
      <w:pPr>
        <w:spacing w:after="0" w:line="240" w:lineRule="auto"/>
        <w:ind w:firstLine="2977"/>
        <w:jc w:val="both"/>
        <w:rPr>
          <w:rFonts w:ascii="Times New Roman" w:eastAsia="Calibri"/>
          <w:sz w:val="24"/>
          <w:szCs w:val="24"/>
        </w:rPr>
      </w:pPr>
      <w:r w:rsidRPr="00F042C6">
        <w:rPr>
          <w:rFonts w:ascii="Times New Roman" w:eastAsia="Calibri"/>
          <w:sz w:val="24"/>
          <w:szCs w:val="24"/>
        </w:rPr>
        <w:t>Nelson Marchezan Júnior,</w:t>
      </w:r>
    </w:p>
    <w:p w:rsidR="00F042C6" w:rsidRPr="00F042C6" w:rsidRDefault="00F042C6" w:rsidP="00F042C6">
      <w:pPr>
        <w:spacing w:after="0" w:line="240" w:lineRule="auto"/>
        <w:ind w:firstLine="2977"/>
        <w:jc w:val="both"/>
        <w:rPr>
          <w:rFonts w:ascii="Times New Roman" w:eastAsia="Calibri"/>
          <w:sz w:val="24"/>
          <w:szCs w:val="24"/>
        </w:rPr>
      </w:pPr>
      <w:r w:rsidRPr="00F042C6">
        <w:rPr>
          <w:rFonts w:ascii="Times New Roman" w:eastAsia="Calibri"/>
          <w:sz w:val="24"/>
          <w:szCs w:val="24"/>
        </w:rPr>
        <w:t>Prefeito de Porto Alegre.</w:t>
      </w:r>
    </w:p>
    <w:p w:rsidR="00F042C6" w:rsidRDefault="00F042C6">
      <w:pPr>
        <w:rPr>
          <w:rFonts w:ascii="Times New Roman"/>
          <w:b/>
          <w:sz w:val="24"/>
          <w:szCs w:val="24"/>
          <w:shd w:val="clear" w:color="auto" w:fill="FFFFFF"/>
        </w:rPr>
      </w:pPr>
    </w:p>
    <w:p w:rsidR="00F042C6" w:rsidRDefault="00F042C6">
      <w:pPr>
        <w:rPr>
          <w:rFonts w:ascii="Times New Roman"/>
          <w:b/>
          <w:sz w:val="24"/>
          <w:szCs w:val="24"/>
          <w:shd w:val="clear" w:color="auto" w:fill="FFFFFF"/>
        </w:rPr>
      </w:pPr>
      <w:r>
        <w:rPr>
          <w:rFonts w:ascii="Times New Roman"/>
          <w:b/>
          <w:sz w:val="24"/>
          <w:szCs w:val="24"/>
          <w:shd w:val="clear" w:color="auto" w:fill="FFFFFF"/>
        </w:rPr>
        <w:br w:type="page"/>
      </w:r>
    </w:p>
    <w:p w:rsidR="006D1EA5" w:rsidRPr="008A355F" w:rsidRDefault="00C700D5" w:rsidP="008A355F">
      <w:pPr>
        <w:spacing w:after="0" w:line="240" w:lineRule="auto"/>
        <w:ind w:left="4248" w:hanging="4248"/>
        <w:jc w:val="center"/>
        <w:rPr>
          <w:rFonts w:ascii="Times New Roman"/>
          <w:b/>
          <w:sz w:val="24"/>
          <w:szCs w:val="24"/>
          <w:shd w:val="clear" w:color="auto" w:fill="FFFFFF"/>
        </w:rPr>
      </w:pPr>
      <w:r w:rsidRPr="008A355F">
        <w:rPr>
          <w:rFonts w:ascii="Times New Roman"/>
          <w:b/>
          <w:sz w:val="24"/>
          <w:szCs w:val="24"/>
          <w:shd w:val="clear" w:color="auto" w:fill="FFFFFF"/>
        </w:rPr>
        <w:lastRenderedPageBreak/>
        <w:t>PROJETO DE LEI COMPLEMENTAR</w:t>
      </w:r>
      <w:r w:rsidR="00F042C6">
        <w:rPr>
          <w:rFonts w:ascii="Times New Roman"/>
          <w:b/>
          <w:sz w:val="24"/>
          <w:szCs w:val="24"/>
          <w:shd w:val="clear" w:color="auto" w:fill="FFFFFF"/>
        </w:rPr>
        <w:t xml:space="preserve"> Nº           /17.</w:t>
      </w:r>
    </w:p>
    <w:p w:rsidR="008A355F" w:rsidRDefault="008A355F" w:rsidP="008A355F">
      <w:pPr>
        <w:spacing w:after="0" w:line="240" w:lineRule="auto"/>
        <w:ind w:left="4248" w:hanging="4248"/>
        <w:rPr>
          <w:rFonts w:ascii="Times New Roman"/>
          <w:sz w:val="24"/>
          <w:szCs w:val="24"/>
          <w:shd w:val="clear" w:color="auto" w:fill="FFFFFF"/>
        </w:rPr>
      </w:pPr>
    </w:p>
    <w:p w:rsidR="008A355F" w:rsidRPr="008A355F" w:rsidRDefault="008A355F" w:rsidP="008A355F">
      <w:pPr>
        <w:spacing w:after="0" w:line="240" w:lineRule="auto"/>
        <w:ind w:left="4248" w:hanging="4248"/>
        <w:rPr>
          <w:rFonts w:ascii="Times New Roman"/>
          <w:sz w:val="24"/>
          <w:szCs w:val="24"/>
          <w:shd w:val="clear" w:color="auto" w:fill="FFFFFF"/>
        </w:rPr>
      </w:pPr>
    </w:p>
    <w:p w:rsidR="006D1EA5" w:rsidRPr="008A355F" w:rsidRDefault="006D1EA5" w:rsidP="008A355F">
      <w:pPr>
        <w:spacing w:after="0" w:line="240" w:lineRule="auto"/>
        <w:jc w:val="both"/>
        <w:rPr>
          <w:rFonts w:ascii="Times New Roman"/>
          <w:b/>
          <w:sz w:val="24"/>
          <w:szCs w:val="24"/>
          <w:shd w:val="clear" w:color="auto" w:fill="FFFFFF"/>
        </w:rPr>
      </w:pPr>
    </w:p>
    <w:p w:rsidR="006D1EA5" w:rsidRPr="008A355F" w:rsidRDefault="00C700D5" w:rsidP="008A355F">
      <w:pPr>
        <w:spacing w:after="0" w:line="240" w:lineRule="auto"/>
        <w:ind w:left="4248"/>
        <w:jc w:val="both"/>
        <w:rPr>
          <w:rFonts w:ascii="Times New Roman"/>
          <w:b/>
          <w:sz w:val="24"/>
          <w:szCs w:val="24"/>
          <w:shd w:val="clear" w:color="auto" w:fill="FFFFFF"/>
        </w:rPr>
      </w:pPr>
      <w:r w:rsidRPr="008A355F">
        <w:rPr>
          <w:rFonts w:ascii="Times New Roman"/>
          <w:b/>
          <w:sz w:val="24"/>
          <w:szCs w:val="24"/>
          <w:shd w:val="clear" w:color="auto" w:fill="FFFFFF"/>
        </w:rPr>
        <w:t>Dispõe sobre o aporte em imóveis para amortização do déficit atuarial do Departamento de Previdência dos Servidores Públicos do Município de Porto Alegre</w:t>
      </w:r>
      <w:r w:rsidR="008A355F">
        <w:rPr>
          <w:rFonts w:ascii="Times New Roman"/>
          <w:b/>
          <w:sz w:val="24"/>
          <w:szCs w:val="24"/>
          <w:shd w:val="clear" w:color="auto" w:fill="FFFFFF"/>
        </w:rPr>
        <w:t>.</w:t>
      </w:r>
    </w:p>
    <w:p w:rsidR="006D1EA5" w:rsidRDefault="006D1EA5" w:rsidP="008A355F">
      <w:pPr>
        <w:spacing w:after="0" w:line="240" w:lineRule="auto"/>
        <w:rPr>
          <w:rFonts w:ascii="Times New Roman"/>
        </w:rPr>
      </w:pPr>
    </w:p>
    <w:p w:rsidR="008A355F" w:rsidRPr="008A355F" w:rsidRDefault="008A355F" w:rsidP="008A355F">
      <w:pPr>
        <w:spacing w:after="0" w:line="240" w:lineRule="auto"/>
        <w:rPr>
          <w:rFonts w:ascii="Times New Roman"/>
        </w:rPr>
      </w:pPr>
    </w:p>
    <w:p w:rsidR="00CF401E" w:rsidRDefault="008A355F" w:rsidP="008A355F">
      <w:pPr>
        <w:spacing w:after="0" w:line="240" w:lineRule="auto"/>
        <w:ind w:firstLine="1418"/>
        <w:jc w:val="both"/>
        <w:rPr>
          <w:rFonts w:ascii="Times New Roman"/>
          <w:sz w:val="24"/>
          <w:szCs w:val="24"/>
          <w:shd w:val="clear" w:color="auto" w:fill="FFFFFF"/>
        </w:rPr>
      </w:pPr>
      <w:r>
        <w:rPr>
          <w:rFonts w:ascii="Times New Roman"/>
          <w:b/>
          <w:sz w:val="24"/>
          <w:szCs w:val="24"/>
          <w:shd w:val="clear" w:color="auto" w:fill="FFFFFF"/>
        </w:rPr>
        <w:t>Art. 1º</w:t>
      </w:r>
      <w:proofErr w:type="gramStart"/>
      <w:r>
        <w:rPr>
          <w:rFonts w:ascii="Times New Roman"/>
          <w:b/>
          <w:sz w:val="24"/>
          <w:szCs w:val="24"/>
          <w:shd w:val="clear" w:color="auto" w:fill="FFFFFF"/>
        </w:rPr>
        <w:t xml:space="preserve"> </w:t>
      </w:r>
      <w:r w:rsidR="00C700D5" w:rsidRPr="008A355F">
        <w:rPr>
          <w:rFonts w:ascii="Times New Roman"/>
          <w:sz w:val="24"/>
          <w:szCs w:val="24"/>
          <w:shd w:val="clear" w:color="auto" w:fill="FFFFFF"/>
        </w:rPr>
        <w:t xml:space="preserve"> </w:t>
      </w:r>
      <w:proofErr w:type="gramEnd"/>
      <w:r w:rsidR="00C700D5" w:rsidRPr="008A355F">
        <w:rPr>
          <w:rFonts w:ascii="Times New Roman"/>
          <w:sz w:val="24"/>
          <w:szCs w:val="24"/>
          <w:shd w:val="clear" w:color="auto" w:fill="FFFFFF"/>
        </w:rPr>
        <w:t xml:space="preserve">O Poder Executivo fica autorizado a transferir bens imóveis ao Departamento Municipal de Previdência dos Servidores Públicos do Município de Porto Alegre </w:t>
      </w:r>
      <w:r>
        <w:rPr>
          <w:rFonts w:ascii="Times New Roman"/>
          <w:sz w:val="24"/>
          <w:szCs w:val="24"/>
          <w:shd w:val="clear" w:color="auto" w:fill="FFFFFF"/>
        </w:rPr>
        <w:t>(</w:t>
      </w:r>
      <w:r w:rsidR="00C700D5" w:rsidRPr="008A355F">
        <w:rPr>
          <w:rFonts w:ascii="Times New Roman"/>
          <w:sz w:val="24"/>
          <w:szCs w:val="24"/>
          <w:shd w:val="clear" w:color="auto" w:fill="FFFFFF"/>
        </w:rPr>
        <w:t>PREVIMPA</w:t>
      </w:r>
      <w:r>
        <w:rPr>
          <w:rFonts w:ascii="Times New Roman"/>
          <w:sz w:val="24"/>
          <w:szCs w:val="24"/>
          <w:shd w:val="clear" w:color="auto" w:fill="FFFFFF"/>
        </w:rPr>
        <w:t>)</w:t>
      </w:r>
      <w:r w:rsidR="00C700D5" w:rsidRPr="008A355F">
        <w:rPr>
          <w:rFonts w:ascii="Times New Roman"/>
          <w:sz w:val="24"/>
          <w:szCs w:val="24"/>
          <w:shd w:val="clear" w:color="auto" w:fill="FFFFFF"/>
        </w:rPr>
        <w:t xml:space="preserve"> para cobertura de déficit atuarial, em montantes que não poderão ultrapassar, a partir da </w:t>
      </w:r>
      <w:r>
        <w:rPr>
          <w:rFonts w:ascii="Times New Roman"/>
          <w:sz w:val="24"/>
          <w:szCs w:val="24"/>
          <w:shd w:val="clear" w:color="auto" w:fill="FFFFFF"/>
        </w:rPr>
        <w:t>entrada em vigor da presente L</w:t>
      </w:r>
      <w:r w:rsidR="00C700D5" w:rsidRPr="008A355F">
        <w:rPr>
          <w:rFonts w:ascii="Times New Roman"/>
          <w:sz w:val="24"/>
          <w:szCs w:val="24"/>
          <w:shd w:val="clear" w:color="auto" w:fill="FFFFFF"/>
        </w:rPr>
        <w:t>ei</w:t>
      </w:r>
      <w:r w:rsidR="00CF401E">
        <w:rPr>
          <w:rFonts w:ascii="Times New Roman"/>
          <w:sz w:val="24"/>
          <w:szCs w:val="24"/>
          <w:shd w:val="clear" w:color="auto" w:fill="FFFFFF"/>
        </w:rPr>
        <w:t>:</w:t>
      </w:r>
    </w:p>
    <w:p w:rsidR="00CF401E" w:rsidRDefault="00CF401E" w:rsidP="008A355F">
      <w:pPr>
        <w:spacing w:after="0" w:line="240" w:lineRule="auto"/>
        <w:ind w:firstLine="1418"/>
        <w:jc w:val="both"/>
        <w:rPr>
          <w:rFonts w:ascii="Times New Roman"/>
          <w:sz w:val="24"/>
          <w:szCs w:val="24"/>
          <w:shd w:val="clear" w:color="auto" w:fill="FFFFFF"/>
        </w:rPr>
      </w:pPr>
    </w:p>
    <w:p w:rsidR="00CF401E" w:rsidRDefault="00CF401E" w:rsidP="008A355F">
      <w:pPr>
        <w:spacing w:after="0" w:line="240" w:lineRule="auto"/>
        <w:ind w:firstLine="1418"/>
        <w:jc w:val="both"/>
        <w:rPr>
          <w:rFonts w:ascii="Times New Roman"/>
          <w:sz w:val="24"/>
          <w:szCs w:val="24"/>
          <w:shd w:val="clear" w:color="auto" w:fill="FFFFFF"/>
        </w:rPr>
      </w:pPr>
      <w:r>
        <w:rPr>
          <w:rFonts w:ascii="Times New Roman"/>
          <w:sz w:val="24"/>
          <w:szCs w:val="24"/>
          <w:shd w:val="clear" w:color="auto" w:fill="FFFFFF"/>
        </w:rPr>
        <w:t xml:space="preserve">I – </w:t>
      </w:r>
      <w:r w:rsidR="00C700D5" w:rsidRPr="008A355F">
        <w:rPr>
          <w:rFonts w:ascii="Times New Roman"/>
          <w:sz w:val="24"/>
          <w:szCs w:val="24"/>
          <w:shd w:val="clear" w:color="auto" w:fill="FFFFFF"/>
        </w:rPr>
        <w:t xml:space="preserve">a 8% (oito por cento) nos primeiros </w:t>
      </w:r>
      <w:proofErr w:type="gramStart"/>
      <w:r w:rsidR="00C700D5" w:rsidRPr="008A355F">
        <w:rPr>
          <w:rFonts w:ascii="Times New Roman"/>
          <w:sz w:val="24"/>
          <w:szCs w:val="24"/>
          <w:shd w:val="clear" w:color="auto" w:fill="FFFFFF"/>
        </w:rPr>
        <w:t>5</w:t>
      </w:r>
      <w:proofErr w:type="gramEnd"/>
      <w:r w:rsidR="00C700D5" w:rsidRPr="008A355F">
        <w:rPr>
          <w:rFonts w:ascii="Times New Roman"/>
          <w:sz w:val="24"/>
          <w:szCs w:val="24"/>
          <w:shd w:val="clear" w:color="auto" w:fill="FFFFFF"/>
        </w:rPr>
        <w:t xml:space="preserve"> (cinco) anos</w:t>
      </w:r>
      <w:r>
        <w:rPr>
          <w:rFonts w:ascii="Times New Roman"/>
          <w:sz w:val="24"/>
          <w:szCs w:val="24"/>
          <w:shd w:val="clear" w:color="auto" w:fill="FFFFFF"/>
        </w:rPr>
        <w:t>;</w:t>
      </w:r>
    </w:p>
    <w:p w:rsidR="00CF401E" w:rsidRDefault="00CF401E" w:rsidP="008A355F">
      <w:pPr>
        <w:spacing w:after="0" w:line="240" w:lineRule="auto"/>
        <w:ind w:firstLine="1418"/>
        <w:jc w:val="both"/>
        <w:rPr>
          <w:rFonts w:ascii="Times New Roman"/>
          <w:sz w:val="24"/>
          <w:szCs w:val="24"/>
          <w:shd w:val="clear" w:color="auto" w:fill="FFFFFF"/>
        </w:rPr>
      </w:pPr>
    </w:p>
    <w:p w:rsidR="00CF401E" w:rsidRDefault="00CF401E" w:rsidP="008A355F">
      <w:pPr>
        <w:spacing w:after="0" w:line="240" w:lineRule="auto"/>
        <w:ind w:firstLine="1418"/>
        <w:jc w:val="both"/>
        <w:rPr>
          <w:rFonts w:ascii="Times New Roman"/>
          <w:sz w:val="24"/>
          <w:szCs w:val="24"/>
          <w:shd w:val="clear" w:color="auto" w:fill="FFFFFF"/>
        </w:rPr>
      </w:pPr>
      <w:r>
        <w:rPr>
          <w:rFonts w:ascii="Times New Roman"/>
          <w:sz w:val="24"/>
          <w:szCs w:val="24"/>
          <w:shd w:val="clear" w:color="auto" w:fill="FFFFFF"/>
        </w:rPr>
        <w:t>II –</w:t>
      </w:r>
      <w:r w:rsidR="00C700D5" w:rsidRPr="008A355F">
        <w:rPr>
          <w:rFonts w:ascii="Times New Roman"/>
          <w:sz w:val="24"/>
          <w:szCs w:val="24"/>
          <w:shd w:val="clear" w:color="auto" w:fill="FFFFFF"/>
        </w:rPr>
        <w:t xml:space="preserve"> a 6% (seis por cento) nos </w:t>
      </w:r>
      <w:proofErr w:type="gramStart"/>
      <w:r w:rsidR="00C700D5" w:rsidRPr="008A355F">
        <w:rPr>
          <w:rFonts w:ascii="Times New Roman"/>
          <w:sz w:val="24"/>
          <w:szCs w:val="24"/>
          <w:shd w:val="clear" w:color="auto" w:fill="FFFFFF"/>
        </w:rPr>
        <w:t>5</w:t>
      </w:r>
      <w:proofErr w:type="gramEnd"/>
      <w:r w:rsidR="00C700D5" w:rsidRPr="008A355F">
        <w:rPr>
          <w:rFonts w:ascii="Times New Roman"/>
          <w:sz w:val="24"/>
          <w:szCs w:val="24"/>
          <w:shd w:val="clear" w:color="auto" w:fill="FFFFFF"/>
        </w:rPr>
        <w:t xml:space="preserve"> (cinco) anos subsequentes, e</w:t>
      </w:r>
    </w:p>
    <w:p w:rsidR="00CF401E" w:rsidRDefault="00CF401E" w:rsidP="008A355F">
      <w:pPr>
        <w:spacing w:after="0" w:line="240" w:lineRule="auto"/>
        <w:ind w:firstLine="1418"/>
        <w:jc w:val="both"/>
        <w:rPr>
          <w:rFonts w:ascii="Times New Roman"/>
          <w:sz w:val="24"/>
          <w:szCs w:val="24"/>
          <w:shd w:val="clear" w:color="auto" w:fill="FFFFFF"/>
        </w:rPr>
      </w:pPr>
    </w:p>
    <w:p w:rsidR="006D1EA5" w:rsidRDefault="00CF401E" w:rsidP="008A355F">
      <w:pPr>
        <w:spacing w:after="0" w:line="240" w:lineRule="auto"/>
        <w:ind w:firstLine="1418"/>
        <w:jc w:val="both"/>
        <w:rPr>
          <w:rFonts w:ascii="Times New Roman"/>
          <w:sz w:val="24"/>
          <w:szCs w:val="24"/>
          <w:shd w:val="clear" w:color="auto" w:fill="FFFFFF"/>
        </w:rPr>
      </w:pPr>
      <w:r>
        <w:rPr>
          <w:rFonts w:ascii="Times New Roman"/>
          <w:sz w:val="24"/>
          <w:szCs w:val="24"/>
          <w:shd w:val="clear" w:color="auto" w:fill="FFFFFF"/>
        </w:rPr>
        <w:t>III –</w:t>
      </w:r>
      <w:r w:rsidR="00C700D5" w:rsidRPr="008A355F">
        <w:rPr>
          <w:rFonts w:ascii="Times New Roman"/>
          <w:sz w:val="24"/>
          <w:szCs w:val="24"/>
          <w:shd w:val="clear" w:color="auto" w:fill="FFFFFF"/>
        </w:rPr>
        <w:t xml:space="preserve"> a 5% (cinco por cento) nos demais anos subsequentes, todos calculados com base no patrimônio líquido do regime capitalizado, constante na Avaliação A</w:t>
      </w:r>
      <w:r w:rsidR="008A355F">
        <w:rPr>
          <w:rFonts w:ascii="Times New Roman"/>
          <w:sz w:val="24"/>
          <w:szCs w:val="24"/>
          <w:shd w:val="clear" w:color="auto" w:fill="FFFFFF"/>
        </w:rPr>
        <w:t>tuarial do exercício anterior.</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C700D5" w:rsidRDefault="00C700D5" w:rsidP="008A355F">
      <w:pPr>
        <w:spacing w:after="0" w:line="240" w:lineRule="auto"/>
        <w:ind w:firstLine="1418"/>
        <w:jc w:val="both"/>
        <w:rPr>
          <w:rFonts w:ascii="Times New Roman"/>
          <w:sz w:val="24"/>
          <w:szCs w:val="24"/>
        </w:rPr>
      </w:pPr>
      <w:r w:rsidRPr="008A355F">
        <w:rPr>
          <w:rFonts w:ascii="Times New Roman"/>
          <w:b/>
          <w:sz w:val="24"/>
          <w:szCs w:val="24"/>
        </w:rPr>
        <w:t>Art. 2º</w:t>
      </w:r>
      <w:proofErr w:type="gramStart"/>
      <w:r w:rsidRPr="008A355F">
        <w:rPr>
          <w:rFonts w:ascii="Times New Roman"/>
          <w:b/>
          <w:sz w:val="24"/>
          <w:szCs w:val="24"/>
        </w:rPr>
        <w:t xml:space="preserve"> </w:t>
      </w:r>
      <w:r w:rsidR="008A355F">
        <w:rPr>
          <w:rFonts w:ascii="Times New Roman"/>
          <w:b/>
          <w:sz w:val="24"/>
          <w:szCs w:val="24"/>
        </w:rPr>
        <w:t xml:space="preserve"> </w:t>
      </w:r>
      <w:proofErr w:type="gramEnd"/>
      <w:r w:rsidRPr="008A355F">
        <w:rPr>
          <w:rFonts w:ascii="Times New Roman"/>
          <w:sz w:val="24"/>
          <w:szCs w:val="24"/>
        </w:rPr>
        <w:t xml:space="preserve">Os aportes em imóveis serão destinados à cobertura de déficit atuarial ou à quitação das contribuições relativas às alíquotas suplementares para cobertura de </w:t>
      </w:r>
      <w:r w:rsidRPr="00F042C6">
        <w:rPr>
          <w:rFonts w:ascii="Times New Roman"/>
          <w:i/>
          <w:sz w:val="24"/>
          <w:szCs w:val="24"/>
        </w:rPr>
        <w:t>déficit</w:t>
      </w:r>
      <w:r w:rsidRPr="008A355F">
        <w:rPr>
          <w:rFonts w:ascii="Times New Roman"/>
          <w:sz w:val="24"/>
          <w:szCs w:val="24"/>
        </w:rPr>
        <w:t xml:space="preserve"> atuarial, observado o que dispõem a L</w:t>
      </w:r>
      <w:r w:rsidR="00CD0B52" w:rsidRPr="008A355F">
        <w:rPr>
          <w:rFonts w:ascii="Times New Roman"/>
          <w:sz w:val="24"/>
          <w:szCs w:val="24"/>
        </w:rPr>
        <w:t xml:space="preserve">ei </w:t>
      </w:r>
      <w:r w:rsidRPr="008A355F">
        <w:rPr>
          <w:rFonts w:ascii="Times New Roman"/>
          <w:sz w:val="24"/>
          <w:szCs w:val="24"/>
        </w:rPr>
        <w:t>C</w:t>
      </w:r>
      <w:r w:rsidR="00CD0B52" w:rsidRPr="008A355F">
        <w:rPr>
          <w:rFonts w:ascii="Times New Roman"/>
          <w:sz w:val="24"/>
          <w:szCs w:val="24"/>
        </w:rPr>
        <w:t>omplementar nº</w:t>
      </w:r>
      <w:r w:rsidRPr="008A355F">
        <w:rPr>
          <w:rFonts w:ascii="Times New Roman"/>
          <w:sz w:val="24"/>
          <w:szCs w:val="24"/>
        </w:rPr>
        <w:t xml:space="preserve"> 505,</w:t>
      </w:r>
      <w:r w:rsidR="008A355F">
        <w:rPr>
          <w:rFonts w:ascii="Times New Roman"/>
          <w:sz w:val="24"/>
          <w:szCs w:val="24"/>
        </w:rPr>
        <w:t xml:space="preserve"> de 28 de maio</w:t>
      </w:r>
      <w:r w:rsidRPr="008A355F">
        <w:rPr>
          <w:rFonts w:ascii="Times New Roman"/>
          <w:sz w:val="24"/>
          <w:szCs w:val="24"/>
        </w:rPr>
        <w:t xml:space="preserve"> de 2004, a Portaria </w:t>
      </w:r>
      <w:r w:rsidR="00CD0B52" w:rsidRPr="008A355F">
        <w:rPr>
          <w:rFonts w:ascii="Times New Roman"/>
          <w:sz w:val="24"/>
          <w:szCs w:val="24"/>
        </w:rPr>
        <w:t xml:space="preserve">nº </w:t>
      </w:r>
      <w:r w:rsidRPr="008A355F">
        <w:rPr>
          <w:rFonts w:ascii="Times New Roman"/>
          <w:sz w:val="24"/>
          <w:szCs w:val="24"/>
        </w:rPr>
        <w:t xml:space="preserve">402, de 10 de dezembro de 2008, e a Orientação Normativa nº 02, de 31 de março de 2009, todas do </w:t>
      </w:r>
      <w:r w:rsidR="00F72BC8" w:rsidRPr="00F72BC8">
        <w:rPr>
          <w:rFonts w:ascii="Times New Roman"/>
          <w:sz w:val="24"/>
          <w:szCs w:val="24"/>
        </w:rPr>
        <w:t xml:space="preserve">Ministério da Previdência Social </w:t>
      </w:r>
      <w:r w:rsidR="00F72BC8">
        <w:rPr>
          <w:rFonts w:ascii="Times New Roman"/>
          <w:sz w:val="24"/>
          <w:szCs w:val="24"/>
        </w:rPr>
        <w:t>(</w:t>
      </w:r>
      <w:r w:rsidRPr="008A355F">
        <w:rPr>
          <w:rFonts w:ascii="Times New Roman"/>
          <w:sz w:val="24"/>
          <w:szCs w:val="24"/>
        </w:rPr>
        <w:t>MPS</w:t>
      </w:r>
      <w:r w:rsidR="00F72BC8">
        <w:rPr>
          <w:rFonts w:ascii="Times New Roman"/>
          <w:sz w:val="24"/>
          <w:szCs w:val="24"/>
        </w:rPr>
        <w:t>)</w:t>
      </w:r>
      <w:r w:rsidRPr="008A355F">
        <w:rPr>
          <w:rFonts w:ascii="Times New Roman"/>
          <w:sz w:val="24"/>
          <w:szCs w:val="24"/>
        </w:rPr>
        <w:t>, com as suas possíveis alterações, em razão do preceituado na Lei Federal nº 9</w:t>
      </w:r>
      <w:r w:rsidR="00A97F67" w:rsidRPr="008A355F">
        <w:rPr>
          <w:rFonts w:ascii="Times New Roman"/>
          <w:sz w:val="24"/>
          <w:szCs w:val="24"/>
        </w:rPr>
        <w:t>.717, de 27 de novembro de 1998, e esta Lei.</w:t>
      </w:r>
    </w:p>
    <w:p w:rsidR="008A355F" w:rsidRPr="008A355F" w:rsidRDefault="008A355F" w:rsidP="008A355F">
      <w:pPr>
        <w:spacing w:after="0" w:line="240" w:lineRule="auto"/>
        <w:ind w:firstLine="1418"/>
        <w:jc w:val="both"/>
        <w:rPr>
          <w:rFonts w:ascii="Times New Roman"/>
          <w:sz w:val="24"/>
          <w:szCs w:val="24"/>
        </w:rPr>
      </w:pPr>
    </w:p>
    <w:p w:rsidR="006D1EA5" w:rsidRPr="00F042C6" w:rsidRDefault="008A355F" w:rsidP="008A355F">
      <w:pPr>
        <w:spacing w:after="0" w:line="240" w:lineRule="auto"/>
        <w:ind w:firstLine="1418"/>
        <w:jc w:val="both"/>
        <w:rPr>
          <w:rFonts w:ascii="Times New Roman"/>
          <w:sz w:val="24"/>
          <w:szCs w:val="24"/>
        </w:rPr>
      </w:pPr>
      <w:r>
        <w:rPr>
          <w:rFonts w:ascii="Times New Roman"/>
          <w:b/>
          <w:sz w:val="24"/>
          <w:szCs w:val="24"/>
          <w:shd w:val="clear" w:color="auto" w:fill="FFFFFF"/>
        </w:rPr>
        <w:t>Art. 3º</w:t>
      </w:r>
      <w:proofErr w:type="gramStart"/>
      <w:r w:rsidR="00C700D5" w:rsidRPr="008A355F">
        <w:rPr>
          <w:rFonts w:ascii="Times New Roman"/>
          <w:b/>
          <w:sz w:val="24"/>
          <w:szCs w:val="24"/>
          <w:shd w:val="clear" w:color="auto" w:fill="FFFFFF"/>
        </w:rPr>
        <w:t xml:space="preserve"> </w:t>
      </w:r>
      <w:r>
        <w:rPr>
          <w:rFonts w:ascii="Times New Roman"/>
          <w:b/>
          <w:sz w:val="24"/>
          <w:szCs w:val="24"/>
          <w:shd w:val="clear" w:color="auto" w:fill="FFFFFF"/>
        </w:rPr>
        <w:t xml:space="preserve"> </w:t>
      </w:r>
      <w:proofErr w:type="gramEnd"/>
      <w:r w:rsidR="00C700D5" w:rsidRPr="008A355F">
        <w:rPr>
          <w:rFonts w:ascii="Times New Roman"/>
          <w:sz w:val="24"/>
          <w:szCs w:val="24"/>
        </w:rPr>
        <w:t xml:space="preserve">Para fins da incorporação do imóvel ao patrimônio do </w:t>
      </w:r>
      <w:r w:rsidR="00C700D5" w:rsidRPr="008A355F">
        <w:rPr>
          <w:rFonts w:ascii="Times New Roman"/>
          <w:sz w:val="24"/>
          <w:szCs w:val="24"/>
          <w:shd w:val="clear" w:color="auto" w:fill="FFFFFF"/>
        </w:rPr>
        <w:t>PREVIMPA</w:t>
      </w:r>
      <w:r w:rsidR="00F72BC8">
        <w:rPr>
          <w:rFonts w:ascii="Times New Roman"/>
          <w:sz w:val="24"/>
          <w:szCs w:val="24"/>
          <w:shd w:val="clear" w:color="auto" w:fill="FFFFFF"/>
        </w:rPr>
        <w:t>,</w:t>
      </w:r>
      <w:r w:rsidR="00C700D5" w:rsidRPr="008A355F">
        <w:rPr>
          <w:rFonts w:ascii="Times New Roman"/>
          <w:sz w:val="24"/>
          <w:szCs w:val="24"/>
        </w:rPr>
        <w:t xml:space="preserve"> deverá ser realizado estudo prévio, fundamentado quanto à segurança, solvência, liquidez e perspectivas de geração de receitas do imóvel, devendo o referido estudo atestar, com o devido suporte documental, a verificação de que o imóvel está totalmente livre de afetação, embaraço ou gravames documentais, ambientais</w:t>
      </w:r>
      <w:r w:rsidR="00F72BC8">
        <w:rPr>
          <w:rFonts w:ascii="Times New Roman"/>
          <w:sz w:val="24"/>
          <w:szCs w:val="24"/>
        </w:rPr>
        <w:t>,</w:t>
      </w:r>
      <w:r w:rsidR="009776E4" w:rsidRPr="008A355F">
        <w:rPr>
          <w:rFonts w:ascii="Times New Roman"/>
          <w:sz w:val="24"/>
          <w:szCs w:val="24"/>
        </w:rPr>
        <w:t xml:space="preserve"> </w:t>
      </w:r>
      <w:r w:rsidR="009776E4" w:rsidRPr="00F042C6">
        <w:rPr>
          <w:rFonts w:ascii="Times New Roman"/>
          <w:sz w:val="24"/>
          <w:szCs w:val="24"/>
        </w:rPr>
        <w:t>inclusive aqueles referentes a esgotos pluvial e cloacal, bem como rede de água,</w:t>
      </w:r>
      <w:r w:rsidR="00C700D5" w:rsidRPr="00F042C6">
        <w:rPr>
          <w:rFonts w:ascii="Times New Roman"/>
          <w:sz w:val="24"/>
          <w:szCs w:val="24"/>
        </w:rPr>
        <w:t xml:space="preserve"> e de mobilidade urbana. </w:t>
      </w:r>
    </w:p>
    <w:p w:rsidR="008A355F" w:rsidRPr="008A355F" w:rsidRDefault="008A355F" w:rsidP="008A355F">
      <w:pPr>
        <w:spacing w:after="0" w:line="240" w:lineRule="auto"/>
        <w:ind w:firstLine="1418"/>
        <w:jc w:val="both"/>
        <w:rPr>
          <w:rFonts w:ascii="Times New Roman"/>
          <w:sz w:val="24"/>
          <w:szCs w:val="24"/>
        </w:rPr>
      </w:pPr>
    </w:p>
    <w:p w:rsidR="006D1EA5" w:rsidRDefault="00C700D5" w:rsidP="008A355F">
      <w:pPr>
        <w:spacing w:after="0" w:line="240" w:lineRule="auto"/>
        <w:ind w:firstLine="1418"/>
        <w:jc w:val="both"/>
        <w:rPr>
          <w:rFonts w:ascii="Times New Roman"/>
          <w:sz w:val="24"/>
          <w:szCs w:val="24"/>
        </w:rPr>
      </w:pPr>
      <w:r w:rsidRPr="008A355F">
        <w:rPr>
          <w:rFonts w:ascii="Times New Roman"/>
          <w:b/>
          <w:sz w:val="24"/>
          <w:szCs w:val="24"/>
          <w:shd w:val="clear" w:color="auto" w:fill="FFFFFF"/>
        </w:rPr>
        <w:t>Art. 4º</w:t>
      </w:r>
      <w:proofErr w:type="gramStart"/>
      <w:r w:rsidRPr="008A355F">
        <w:rPr>
          <w:rFonts w:ascii="Times New Roman"/>
          <w:sz w:val="24"/>
          <w:szCs w:val="24"/>
          <w:shd w:val="clear" w:color="auto" w:fill="FFFFFF"/>
        </w:rPr>
        <w:t xml:space="preserve"> </w:t>
      </w:r>
      <w:r w:rsidR="008A355F">
        <w:rPr>
          <w:rFonts w:ascii="Times New Roman"/>
          <w:sz w:val="24"/>
          <w:szCs w:val="24"/>
          <w:shd w:val="clear" w:color="auto" w:fill="FFFFFF"/>
        </w:rPr>
        <w:t xml:space="preserve"> </w:t>
      </w:r>
      <w:proofErr w:type="gramEnd"/>
      <w:r w:rsidRPr="008A355F">
        <w:rPr>
          <w:rFonts w:ascii="Times New Roman"/>
          <w:sz w:val="24"/>
          <w:szCs w:val="24"/>
          <w:shd w:val="clear" w:color="auto" w:fill="FFFFFF"/>
        </w:rPr>
        <w:t xml:space="preserve">Os bens imóveis do Município dados em pagamento de </w:t>
      </w:r>
      <w:r w:rsidRPr="00F042C6">
        <w:rPr>
          <w:rFonts w:ascii="Times New Roman"/>
          <w:i/>
          <w:sz w:val="24"/>
          <w:szCs w:val="24"/>
          <w:shd w:val="clear" w:color="auto" w:fill="FFFFFF"/>
        </w:rPr>
        <w:t xml:space="preserve">déficit </w:t>
      </w:r>
      <w:r w:rsidRPr="008A355F">
        <w:rPr>
          <w:rFonts w:ascii="Times New Roman"/>
          <w:sz w:val="24"/>
          <w:szCs w:val="24"/>
          <w:shd w:val="clear" w:color="auto" w:fill="FFFFFF"/>
        </w:rPr>
        <w:t>atuarial serão</w:t>
      </w:r>
      <w:r w:rsidR="001B20E2" w:rsidRPr="008A355F">
        <w:rPr>
          <w:rFonts w:ascii="Times New Roman"/>
          <w:sz w:val="24"/>
          <w:szCs w:val="24"/>
          <w:shd w:val="clear" w:color="auto" w:fill="FFFFFF"/>
        </w:rPr>
        <w:t xml:space="preserve"> vinculados </w:t>
      </w:r>
      <w:r w:rsidR="00465592" w:rsidRPr="008A355F">
        <w:rPr>
          <w:rFonts w:ascii="Times New Roman"/>
          <w:sz w:val="24"/>
          <w:szCs w:val="24"/>
          <w:shd w:val="clear" w:color="auto" w:fill="FFFFFF"/>
        </w:rPr>
        <w:t xml:space="preserve">por lei ao PREVIMPA </w:t>
      </w:r>
      <w:r w:rsidR="001B20E2" w:rsidRPr="008A355F">
        <w:rPr>
          <w:rFonts w:ascii="Times New Roman"/>
          <w:sz w:val="24"/>
          <w:szCs w:val="24"/>
          <w:shd w:val="clear" w:color="auto" w:fill="FFFFFF"/>
        </w:rPr>
        <w:t xml:space="preserve">e transferidos </w:t>
      </w:r>
      <w:r w:rsidRPr="008A355F">
        <w:rPr>
          <w:rFonts w:ascii="Times New Roman"/>
          <w:sz w:val="24"/>
          <w:szCs w:val="24"/>
          <w:shd w:val="clear" w:color="auto" w:fill="FFFFFF"/>
        </w:rPr>
        <w:t xml:space="preserve">para a propriedade do </w:t>
      </w:r>
      <w:r w:rsidR="00F72BC8" w:rsidRPr="008A355F">
        <w:rPr>
          <w:rFonts w:ascii="Times New Roman"/>
          <w:sz w:val="24"/>
          <w:szCs w:val="24"/>
          <w:shd w:val="clear" w:color="auto" w:fill="FFFFFF"/>
        </w:rPr>
        <w:t xml:space="preserve">Regime Próprio de Previdência Social </w:t>
      </w:r>
      <w:r w:rsidR="00F72BC8">
        <w:rPr>
          <w:rFonts w:ascii="Times New Roman"/>
          <w:sz w:val="24"/>
          <w:szCs w:val="24"/>
          <w:shd w:val="clear" w:color="auto" w:fill="FFFFFF"/>
        </w:rPr>
        <w:t>(</w:t>
      </w:r>
      <w:r w:rsidRPr="008A355F">
        <w:rPr>
          <w:rFonts w:ascii="Times New Roman"/>
          <w:sz w:val="24"/>
          <w:szCs w:val="24"/>
          <w:shd w:val="clear" w:color="auto" w:fill="FFFFFF"/>
        </w:rPr>
        <w:t>RPPS</w:t>
      </w:r>
      <w:r w:rsidR="00F72BC8">
        <w:rPr>
          <w:rFonts w:ascii="Times New Roman"/>
          <w:sz w:val="24"/>
          <w:szCs w:val="24"/>
          <w:shd w:val="clear" w:color="auto" w:fill="FFFFFF"/>
        </w:rPr>
        <w:t>)</w:t>
      </w:r>
      <w:r w:rsidRPr="008A355F">
        <w:rPr>
          <w:rFonts w:ascii="Times New Roman"/>
          <w:sz w:val="24"/>
          <w:szCs w:val="24"/>
          <w:shd w:val="clear" w:color="auto" w:fill="FFFFFF"/>
        </w:rPr>
        <w:t xml:space="preserve"> mediante escritura pública de dação em pagamento, com a quitação do valor do </w:t>
      </w:r>
      <w:r w:rsidRPr="00F042C6">
        <w:rPr>
          <w:rFonts w:ascii="Times New Roman"/>
          <w:i/>
          <w:sz w:val="24"/>
          <w:szCs w:val="24"/>
          <w:shd w:val="clear" w:color="auto" w:fill="FFFFFF"/>
        </w:rPr>
        <w:t>déficit</w:t>
      </w:r>
      <w:r w:rsidRPr="008A355F">
        <w:rPr>
          <w:rFonts w:ascii="Times New Roman"/>
          <w:sz w:val="24"/>
          <w:szCs w:val="24"/>
          <w:shd w:val="clear" w:color="auto" w:fill="FFFFFF"/>
        </w:rPr>
        <w:t xml:space="preserve"> coberto pela transação, p</w:t>
      </w:r>
      <w:r w:rsidRPr="008A355F">
        <w:rPr>
          <w:rFonts w:ascii="Times New Roman"/>
          <w:sz w:val="24"/>
          <w:szCs w:val="24"/>
        </w:rPr>
        <w:t xml:space="preserve">assando os imóveis, após a devida escrituração e registro no Cartório de Imóveis, </w:t>
      </w:r>
      <w:r w:rsidRPr="008A355F">
        <w:rPr>
          <w:rFonts w:ascii="Times New Roman"/>
          <w:sz w:val="24"/>
          <w:szCs w:val="24"/>
          <w:shd w:val="clear" w:color="auto" w:fill="FFFFFF"/>
        </w:rPr>
        <w:t>constituir-se em ativos imobiliários do plano de benefícios do RPPS e ficando, assim, sujeitos às normas d</w:t>
      </w:r>
      <w:r w:rsidRPr="008A355F">
        <w:rPr>
          <w:rFonts w:ascii="Times New Roman"/>
          <w:sz w:val="24"/>
          <w:szCs w:val="24"/>
        </w:rPr>
        <w:t>as aplicações dos recursos dos regimes próprios de previdência social instituídos pela União, Estados, Distrito Federal e Municípios.</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C700D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 1º</w:t>
      </w:r>
      <w:proofErr w:type="gramStart"/>
      <w:r w:rsidRPr="008A355F">
        <w:rPr>
          <w:rFonts w:ascii="Times New Roman"/>
          <w:b/>
          <w:sz w:val="24"/>
          <w:szCs w:val="24"/>
          <w:shd w:val="clear" w:color="auto" w:fill="FFFFFF"/>
        </w:rPr>
        <w:t xml:space="preserve"> </w:t>
      </w:r>
      <w:r w:rsidR="008A355F">
        <w:rPr>
          <w:rFonts w:ascii="Times New Roman"/>
          <w:b/>
          <w:sz w:val="24"/>
          <w:szCs w:val="24"/>
          <w:shd w:val="clear" w:color="auto" w:fill="FFFFFF"/>
        </w:rPr>
        <w:t xml:space="preserve"> </w:t>
      </w:r>
      <w:proofErr w:type="gramEnd"/>
      <w:r w:rsidRPr="008A355F">
        <w:rPr>
          <w:rFonts w:ascii="Times New Roman"/>
          <w:sz w:val="24"/>
          <w:szCs w:val="24"/>
        </w:rPr>
        <w:t>O imóvel será incorporado ao patrimônio do regime próprio de previdência dos servidores municipais pelo seu respectivo valor de mercado, apurado em Laudo Técnico de Avaliação,</w:t>
      </w:r>
      <w:r w:rsidR="009776E4" w:rsidRPr="008A355F">
        <w:rPr>
          <w:rFonts w:ascii="Times New Roman"/>
          <w:sz w:val="24"/>
          <w:szCs w:val="24"/>
        </w:rPr>
        <w:t xml:space="preserve"> </w:t>
      </w:r>
      <w:r w:rsidRPr="008A355F">
        <w:rPr>
          <w:rFonts w:ascii="Times New Roman"/>
          <w:sz w:val="24"/>
          <w:szCs w:val="24"/>
        </w:rPr>
        <w:t xml:space="preserve">emitido pelo órgão competente da </w:t>
      </w:r>
      <w:r w:rsidRPr="008A355F">
        <w:rPr>
          <w:rFonts w:ascii="Times New Roman"/>
          <w:sz w:val="24"/>
          <w:szCs w:val="24"/>
          <w:shd w:val="clear" w:color="auto" w:fill="FFFFFF"/>
        </w:rPr>
        <w:t>Secretaria Municipal da Fazenda</w:t>
      </w:r>
      <w:r w:rsidR="00F72BC8">
        <w:rPr>
          <w:rFonts w:ascii="Times New Roman"/>
          <w:sz w:val="24"/>
          <w:szCs w:val="24"/>
          <w:shd w:val="clear" w:color="auto" w:fill="FFFFFF"/>
        </w:rPr>
        <w:t xml:space="preserve"> (SMF)</w:t>
      </w:r>
      <w:r w:rsidRPr="008A355F">
        <w:rPr>
          <w:rFonts w:ascii="Times New Roman"/>
          <w:sz w:val="24"/>
          <w:szCs w:val="24"/>
          <w:shd w:val="clear" w:color="auto" w:fill="FFFFFF"/>
        </w:rPr>
        <w:t xml:space="preserve">, </w:t>
      </w:r>
      <w:r w:rsidR="009776E4" w:rsidRPr="00F042C6">
        <w:rPr>
          <w:rFonts w:ascii="Times New Roman"/>
          <w:sz w:val="24"/>
          <w:szCs w:val="24"/>
          <w:shd w:val="clear" w:color="auto" w:fill="FFFFFF"/>
        </w:rPr>
        <w:t xml:space="preserve">devidamente </w:t>
      </w:r>
      <w:r w:rsidR="009776E4" w:rsidRPr="00F042C6">
        <w:rPr>
          <w:rFonts w:ascii="Times New Roman"/>
          <w:sz w:val="24"/>
          <w:szCs w:val="24"/>
        </w:rPr>
        <w:t>acompanhado pela respetiva Anotação de Responsabilidade Técnica</w:t>
      </w:r>
      <w:r w:rsidR="00F72BC8" w:rsidRPr="00F042C6">
        <w:rPr>
          <w:rFonts w:ascii="Times New Roman"/>
          <w:sz w:val="24"/>
          <w:szCs w:val="24"/>
        </w:rPr>
        <w:t xml:space="preserve"> (ART)</w:t>
      </w:r>
      <w:r w:rsidR="009776E4" w:rsidRPr="00F042C6">
        <w:rPr>
          <w:rFonts w:ascii="Times New Roman"/>
          <w:sz w:val="24"/>
          <w:szCs w:val="24"/>
        </w:rPr>
        <w:t xml:space="preserve"> e </w:t>
      </w:r>
      <w:r w:rsidRPr="008A355F">
        <w:rPr>
          <w:rFonts w:ascii="Times New Roman"/>
          <w:sz w:val="24"/>
          <w:szCs w:val="24"/>
          <w:shd w:val="clear" w:color="auto" w:fill="FFFFFF"/>
        </w:rPr>
        <w:t>conforme normativa e metodologia estabelecida pela Associação Brasileira de Normas Técnicas (ABNT).</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C700D5" w:rsidP="008A355F">
      <w:pPr>
        <w:spacing w:after="0" w:line="240" w:lineRule="auto"/>
        <w:ind w:firstLine="1418"/>
        <w:jc w:val="both"/>
        <w:rPr>
          <w:rFonts w:ascii="Times New Roman"/>
          <w:sz w:val="24"/>
          <w:szCs w:val="24"/>
        </w:rPr>
      </w:pPr>
      <w:r w:rsidRPr="008A355F">
        <w:rPr>
          <w:rFonts w:ascii="Times New Roman"/>
          <w:b/>
          <w:sz w:val="24"/>
          <w:szCs w:val="24"/>
          <w:shd w:val="clear" w:color="auto" w:fill="FFFFFF"/>
        </w:rPr>
        <w:t>§ 2º</w:t>
      </w:r>
      <w:proofErr w:type="gramStart"/>
      <w:r w:rsidRPr="008A355F">
        <w:rPr>
          <w:rFonts w:ascii="Times New Roman"/>
          <w:sz w:val="24"/>
          <w:szCs w:val="24"/>
          <w:shd w:val="clear" w:color="auto" w:fill="FFFFFF"/>
        </w:rPr>
        <w:t xml:space="preserve"> </w:t>
      </w:r>
      <w:r w:rsidR="008A355F">
        <w:rPr>
          <w:rFonts w:ascii="Times New Roman"/>
          <w:sz w:val="24"/>
          <w:szCs w:val="24"/>
          <w:shd w:val="clear" w:color="auto" w:fill="FFFFFF"/>
        </w:rPr>
        <w:t xml:space="preserve"> </w:t>
      </w:r>
      <w:proofErr w:type="gramEnd"/>
      <w:r w:rsidRPr="008A355F">
        <w:rPr>
          <w:rFonts w:ascii="Times New Roman"/>
          <w:sz w:val="24"/>
          <w:szCs w:val="24"/>
          <w:shd w:val="clear" w:color="auto" w:fill="FFFFFF"/>
        </w:rPr>
        <w:t>Na avaliação de imóveis, em se tratando de terrenos, deverá ser observada a</w:t>
      </w:r>
      <w:r w:rsidRPr="008A355F">
        <w:rPr>
          <w:rFonts w:ascii="Times New Roman"/>
          <w:sz w:val="24"/>
          <w:szCs w:val="24"/>
        </w:rPr>
        <w:t xml:space="preserve"> caracterização do mesmo, observados os requisitos abaixo: </w:t>
      </w:r>
    </w:p>
    <w:p w:rsidR="008A355F" w:rsidRPr="008A355F" w:rsidRDefault="008A355F" w:rsidP="008A355F">
      <w:pPr>
        <w:spacing w:after="0" w:line="240" w:lineRule="auto"/>
        <w:ind w:firstLine="1418"/>
        <w:jc w:val="both"/>
        <w:rPr>
          <w:rFonts w:ascii="Times New Roman"/>
          <w:sz w:val="24"/>
          <w:szCs w:val="24"/>
        </w:rPr>
      </w:pPr>
    </w:p>
    <w:p w:rsidR="006D1EA5" w:rsidRPr="00F72BC8" w:rsidRDefault="00F72BC8" w:rsidP="00F72BC8">
      <w:pPr>
        <w:spacing w:after="0" w:line="240" w:lineRule="auto"/>
        <w:ind w:firstLine="1418"/>
        <w:jc w:val="both"/>
        <w:rPr>
          <w:rFonts w:ascii="Times New Roman" w:eastAsia="Arial"/>
          <w:sz w:val="24"/>
          <w:szCs w:val="24"/>
          <w:lang w:eastAsia="pt-BR"/>
        </w:rPr>
      </w:pPr>
      <w:r>
        <w:rPr>
          <w:rFonts w:ascii="Times New Roman" w:eastAsia="Arial"/>
          <w:sz w:val="24"/>
          <w:szCs w:val="24"/>
          <w:lang w:eastAsia="pt-BR"/>
        </w:rPr>
        <w:t xml:space="preserve">I – </w:t>
      </w:r>
      <w:r w:rsidR="00C700D5" w:rsidRPr="00F72BC8">
        <w:rPr>
          <w:rFonts w:ascii="Times New Roman" w:eastAsia="Arial"/>
          <w:sz w:val="24"/>
          <w:szCs w:val="24"/>
          <w:lang w:eastAsia="pt-BR"/>
        </w:rPr>
        <w:t>localização: situação no contexto urbano e via pública com indicação de limites e divisas, definidas de acordo com a posição do observador, a qual deve ser obrigatoriamente explicitada;</w:t>
      </w:r>
    </w:p>
    <w:p w:rsidR="008A355F" w:rsidRPr="00F72BC8" w:rsidRDefault="008A355F" w:rsidP="00F72BC8">
      <w:pPr>
        <w:spacing w:after="0" w:line="240" w:lineRule="auto"/>
        <w:ind w:left="1418"/>
        <w:jc w:val="both"/>
        <w:rPr>
          <w:rFonts w:ascii="Times New Roman"/>
          <w:sz w:val="24"/>
          <w:szCs w:val="24"/>
          <w:lang w:eastAsia="pt-BR"/>
        </w:rPr>
      </w:pPr>
    </w:p>
    <w:p w:rsidR="006D1EA5" w:rsidRPr="00F72BC8" w:rsidRDefault="00F72BC8" w:rsidP="00F72BC8">
      <w:pPr>
        <w:spacing w:after="0" w:line="240" w:lineRule="auto"/>
        <w:ind w:left="1418"/>
        <w:jc w:val="both"/>
        <w:rPr>
          <w:rFonts w:ascii="Times New Roman"/>
          <w:sz w:val="24"/>
          <w:szCs w:val="24"/>
          <w:lang w:eastAsia="pt-BR"/>
        </w:rPr>
      </w:pPr>
      <w:r>
        <w:rPr>
          <w:rFonts w:ascii="Times New Roman" w:eastAsia="Arial"/>
          <w:sz w:val="24"/>
          <w:szCs w:val="24"/>
          <w:lang w:eastAsia="pt-BR"/>
        </w:rPr>
        <w:t xml:space="preserve">II – </w:t>
      </w:r>
      <w:r w:rsidR="00C700D5" w:rsidRPr="00F72BC8">
        <w:rPr>
          <w:rFonts w:ascii="Times New Roman" w:eastAsia="Arial"/>
          <w:sz w:val="24"/>
          <w:szCs w:val="24"/>
          <w:lang w:eastAsia="pt-BR"/>
        </w:rPr>
        <w:t>aspectos físicos: dimensões, forma, topografia, consistência do solo;</w:t>
      </w:r>
    </w:p>
    <w:p w:rsidR="008A355F" w:rsidRPr="008A355F" w:rsidRDefault="008A355F" w:rsidP="00F72BC8">
      <w:pPr>
        <w:pStyle w:val="PargrafodaLista"/>
        <w:spacing w:after="0" w:line="240" w:lineRule="auto"/>
        <w:ind w:left="0"/>
        <w:jc w:val="both"/>
        <w:rPr>
          <w:rFonts w:ascii="Times New Roman"/>
          <w:sz w:val="24"/>
          <w:szCs w:val="24"/>
          <w:lang w:eastAsia="pt-BR"/>
        </w:rPr>
      </w:pPr>
    </w:p>
    <w:p w:rsidR="006D1EA5" w:rsidRPr="00F72BC8" w:rsidRDefault="00F72BC8" w:rsidP="00F72BC8">
      <w:pPr>
        <w:spacing w:after="0" w:line="240" w:lineRule="auto"/>
        <w:ind w:left="1418"/>
        <w:jc w:val="both"/>
        <w:rPr>
          <w:rFonts w:ascii="Times New Roman"/>
          <w:sz w:val="24"/>
          <w:szCs w:val="24"/>
          <w:lang w:eastAsia="pt-BR"/>
        </w:rPr>
      </w:pPr>
      <w:r>
        <w:rPr>
          <w:rFonts w:ascii="Times New Roman" w:eastAsia="Arial"/>
          <w:sz w:val="24"/>
          <w:szCs w:val="24"/>
          <w:lang w:eastAsia="pt-BR"/>
        </w:rPr>
        <w:t xml:space="preserve">III – </w:t>
      </w:r>
      <w:r w:rsidR="00C700D5" w:rsidRPr="00F72BC8">
        <w:rPr>
          <w:rFonts w:ascii="Times New Roman" w:eastAsia="Arial"/>
          <w:sz w:val="24"/>
          <w:szCs w:val="24"/>
          <w:lang w:eastAsia="pt-BR"/>
        </w:rPr>
        <w:t>infraestrutura urbana disponível;</w:t>
      </w:r>
      <w:r w:rsidR="00CF401E">
        <w:rPr>
          <w:rFonts w:ascii="Times New Roman" w:eastAsia="Arial"/>
          <w:sz w:val="24"/>
          <w:szCs w:val="24"/>
          <w:lang w:eastAsia="pt-BR"/>
        </w:rPr>
        <w:t xml:space="preserve"> </w:t>
      </w:r>
      <w:proofErr w:type="gramStart"/>
      <w:r w:rsidR="00CF401E">
        <w:rPr>
          <w:rFonts w:ascii="Times New Roman" w:eastAsia="Arial"/>
          <w:sz w:val="24"/>
          <w:szCs w:val="24"/>
          <w:lang w:eastAsia="pt-BR"/>
        </w:rPr>
        <w:t>e</w:t>
      </w:r>
      <w:proofErr w:type="gramEnd"/>
    </w:p>
    <w:p w:rsidR="008A355F" w:rsidRPr="008A355F" w:rsidRDefault="008A355F" w:rsidP="00F72BC8">
      <w:pPr>
        <w:spacing w:after="0" w:line="240" w:lineRule="auto"/>
        <w:jc w:val="both"/>
        <w:rPr>
          <w:rFonts w:ascii="Times New Roman"/>
          <w:sz w:val="24"/>
          <w:szCs w:val="24"/>
          <w:lang w:eastAsia="pt-BR"/>
        </w:rPr>
      </w:pPr>
    </w:p>
    <w:p w:rsidR="006D1EA5" w:rsidRPr="00F72BC8" w:rsidRDefault="00F72BC8" w:rsidP="00F72BC8">
      <w:pPr>
        <w:spacing w:after="0" w:line="240" w:lineRule="auto"/>
        <w:ind w:firstLine="1418"/>
        <w:jc w:val="both"/>
        <w:rPr>
          <w:rFonts w:ascii="Times New Roman"/>
          <w:sz w:val="24"/>
          <w:szCs w:val="24"/>
          <w:lang w:eastAsia="pt-BR"/>
        </w:rPr>
      </w:pPr>
      <w:r>
        <w:rPr>
          <w:rFonts w:ascii="Times New Roman" w:eastAsia="Arial"/>
          <w:sz w:val="24"/>
          <w:szCs w:val="24"/>
          <w:lang w:eastAsia="pt-BR"/>
        </w:rPr>
        <w:t xml:space="preserve">IV – </w:t>
      </w:r>
      <w:r w:rsidR="00C700D5" w:rsidRPr="00F72BC8">
        <w:rPr>
          <w:rFonts w:ascii="Times New Roman"/>
          <w:sz w:val="24"/>
          <w:szCs w:val="24"/>
          <w:lang w:eastAsia="pt-BR"/>
        </w:rPr>
        <w:t>outras situações relevantes que venham a interferir na fixação do seu efetivo valor venal.</w:t>
      </w:r>
    </w:p>
    <w:p w:rsidR="006D1EA5" w:rsidRPr="008A355F" w:rsidRDefault="006D1EA5" w:rsidP="008A355F">
      <w:pPr>
        <w:spacing w:after="0" w:line="240" w:lineRule="auto"/>
        <w:ind w:firstLine="1418"/>
        <w:jc w:val="both"/>
        <w:rPr>
          <w:rFonts w:ascii="Times New Roman"/>
          <w:b/>
          <w:sz w:val="24"/>
          <w:szCs w:val="24"/>
          <w:lang w:eastAsia="pt-BR"/>
        </w:rPr>
      </w:pPr>
    </w:p>
    <w:p w:rsidR="006D1EA5" w:rsidRDefault="00C700D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lang w:eastAsia="pt-BR"/>
        </w:rPr>
        <w:t>§ 3º</w:t>
      </w:r>
      <w:proofErr w:type="gramStart"/>
      <w:r w:rsidRPr="008A355F">
        <w:rPr>
          <w:rFonts w:ascii="Times New Roman"/>
          <w:b/>
          <w:sz w:val="24"/>
          <w:szCs w:val="24"/>
          <w:lang w:eastAsia="pt-BR"/>
        </w:rPr>
        <w:t xml:space="preserve"> </w:t>
      </w:r>
      <w:r w:rsidR="008A355F">
        <w:rPr>
          <w:rFonts w:ascii="Times New Roman"/>
          <w:b/>
          <w:sz w:val="24"/>
          <w:szCs w:val="24"/>
          <w:lang w:eastAsia="pt-BR"/>
        </w:rPr>
        <w:t xml:space="preserve"> </w:t>
      </w:r>
      <w:proofErr w:type="gramEnd"/>
      <w:r w:rsidRPr="008A355F">
        <w:rPr>
          <w:rFonts w:ascii="Times New Roman"/>
          <w:sz w:val="24"/>
          <w:szCs w:val="24"/>
          <w:lang w:eastAsia="pt-BR"/>
        </w:rPr>
        <w:t xml:space="preserve">O </w:t>
      </w:r>
      <w:r w:rsidRPr="008A355F">
        <w:rPr>
          <w:rFonts w:ascii="Times New Roman"/>
          <w:sz w:val="24"/>
          <w:szCs w:val="24"/>
          <w:shd w:val="clear" w:color="auto" w:fill="FFFFFF"/>
        </w:rPr>
        <w:t xml:space="preserve">Laudo Técnico de Avaliação, emitido pela </w:t>
      </w:r>
      <w:r w:rsidR="00F72BC8">
        <w:rPr>
          <w:rFonts w:ascii="Times New Roman"/>
          <w:sz w:val="24"/>
          <w:szCs w:val="24"/>
          <w:shd w:val="clear" w:color="auto" w:fill="FFFFFF"/>
        </w:rPr>
        <w:t>SMF</w:t>
      </w:r>
      <w:r w:rsidRPr="008A355F">
        <w:rPr>
          <w:rFonts w:ascii="Times New Roman"/>
          <w:sz w:val="24"/>
          <w:szCs w:val="24"/>
          <w:shd w:val="clear" w:color="auto" w:fill="FFFFFF"/>
        </w:rPr>
        <w:t xml:space="preserve"> ser</w:t>
      </w:r>
      <w:r w:rsidR="003D27FB" w:rsidRPr="008A355F">
        <w:rPr>
          <w:rFonts w:ascii="Times New Roman"/>
          <w:sz w:val="24"/>
          <w:szCs w:val="24"/>
          <w:shd w:val="clear" w:color="auto" w:fill="FFFFFF"/>
        </w:rPr>
        <w:t>á</w:t>
      </w:r>
      <w:r w:rsidRPr="008A355F">
        <w:rPr>
          <w:rFonts w:ascii="Times New Roman"/>
          <w:sz w:val="24"/>
          <w:szCs w:val="24"/>
          <w:shd w:val="clear" w:color="auto" w:fill="FFFFFF"/>
        </w:rPr>
        <w:t xml:space="preserve"> submetido à deliberação do Conselho de Administração do </w:t>
      </w:r>
      <w:r w:rsidR="00B43707" w:rsidRPr="008A355F">
        <w:rPr>
          <w:rFonts w:ascii="Times New Roman"/>
          <w:sz w:val="24"/>
          <w:szCs w:val="24"/>
          <w:shd w:val="clear" w:color="auto" w:fill="FFFFFF"/>
        </w:rPr>
        <w:t>PREVIMPA</w:t>
      </w:r>
      <w:r w:rsidRPr="008A355F">
        <w:rPr>
          <w:rFonts w:ascii="Times New Roman"/>
          <w:sz w:val="24"/>
          <w:szCs w:val="24"/>
          <w:shd w:val="clear" w:color="auto" w:fill="FFFFFF"/>
        </w:rPr>
        <w:t>.</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9776E4" w:rsidP="008A355F">
      <w:pPr>
        <w:spacing w:after="0" w:line="240" w:lineRule="auto"/>
        <w:ind w:firstLine="1418"/>
        <w:jc w:val="both"/>
        <w:rPr>
          <w:rFonts w:ascii="Times New Roman"/>
          <w:sz w:val="24"/>
          <w:szCs w:val="24"/>
        </w:rPr>
      </w:pPr>
      <w:r w:rsidRPr="008A355F">
        <w:rPr>
          <w:rFonts w:ascii="Times New Roman"/>
          <w:b/>
          <w:sz w:val="24"/>
          <w:szCs w:val="24"/>
          <w:lang w:eastAsia="pt-BR"/>
        </w:rPr>
        <w:t>§ 4º</w:t>
      </w:r>
      <w:proofErr w:type="gramStart"/>
      <w:r w:rsidRPr="008A355F">
        <w:rPr>
          <w:rFonts w:ascii="Times New Roman"/>
          <w:b/>
          <w:sz w:val="24"/>
          <w:szCs w:val="24"/>
          <w:lang w:eastAsia="pt-BR"/>
        </w:rPr>
        <w:t xml:space="preserve">  </w:t>
      </w:r>
      <w:proofErr w:type="gramEnd"/>
      <w:r w:rsidR="00C700D5" w:rsidRPr="008A355F">
        <w:rPr>
          <w:rFonts w:ascii="Times New Roman"/>
          <w:sz w:val="24"/>
          <w:szCs w:val="24"/>
          <w:shd w:val="clear" w:color="auto" w:fill="FFFFFF"/>
        </w:rPr>
        <w:t xml:space="preserve">Em caso de discordância do Laudo, o </w:t>
      </w:r>
      <w:r w:rsidR="00B43707" w:rsidRPr="008A355F">
        <w:rPr>
          <w:rFonts w:ascii="Times New Roman"/>
          <w:sz w:val="24"/>
          <w:szCs w:val="24"/>
          <w:shd w:val="clear" w:color="auto" w:fill="FFFFFF"/>
        </w:rPr>
        <w:t>PREVIMPA</w:t>
      </w:r>
      <w:r w:rsidR="00B43707" w:rsidRPr="008A355F" w:rsidDel="00B43707">
        <w:rPr>
          <w:rFonts w:ascii="Times New Roman"/>
          <w:sz w:val="24"/>
          <w:szCs w:val="24"/>
          <w:shd w:val="clear" w:color="auto" w:fill="FFFFFF"/>
        </w:rPr>
        <w:t xml:space="preserve"> </w:t>
      </w:r>
      <w:r w:rsidR="00C700D5" w:rsidRPr="008A355F">
        <w:rPr>
          <w:rFonts w:ascii="Times New Roman"/>
          <w:sz w:val="24"/>
          <w:szCs w:val="24"/>
          <w:shd w:val="clear" w:color="auto" w:fill="FFFFFF"/>
        </w:rPr>
        <w:t>poderá</w:t>
      </w:r>
      <w:r w:rsidR="00C700D5" w:rsidRPr="008A355F">
        <w:rPr>
          <w:rFonts w:ascii="Times New Roman"/>
          <w:sz w:val="24"/>
          <w:szCs w:val="24"/>
        </w:rPr>
        <w:t xml:space="preserve"> contratar pessoa física ou jurídica, legalmente habilitada, não vinculada direta ou indiretamente ao Município ou aos administradores e servidores da Autarquia e do Órgão Fazendário, para a elaboração, de Laudo Técnico de Avaliação de Imóveis, com metodologia semelhante estabelecida pela ABNT.</w:t>
      </w:r>
    </w:p>
    <w:p w:rsidR="008A355F" w:rsidRPr="008A355F" w:rsidRDefault="008A355F" w:rsidP="008A355F">
      <w:pPr>
        <w:spacing w:after="0" w:line="240" w:lineRule="auto"/>
        <w:ind w:firstLine="1418"/>
        <w:jc w:val="both"/>
        <w:rPr>
          <w:rFonts w:ascii="Times New Roman"/>
          <w:sz w:val="24"/>
          <w:szCs w:val="24"/>
        </w:rPr>
      </w:pPr>
    </w:p>
    <w:p w:rsidR="00C700D5" w:rsidRDefault="00C700D5" w:rsidP="008A355F">
      <w:pPr>
        <w:spacing w:after="0" w:line="240" w:lineRule="auto"/>
        <w:ind w:firstLine="1418"/>
        <w:jc w:val="both"/>
        <w:rPr>
          <w:rFonts w:ascii="Times New Roman"/>
          <w:sz w:val="24"/>
          <w:szCs w:val="24"/>
        </w:rPr>
      </w:pPr>
      <w:r w:rsidRPr="008A355F">
        <w:rPr>
          <w:rFonts w:ascii="Times New Roman"/>
          <w:b/>
          <w:sz w:val="24"/>
          <w:szCs w:val="24"/>
        </w:rPr>
        <w:t>§</w:t>
      </w:r>
      <w:r w:rsidR="008A355F">
        <w:rPr>
          <w:rFonts w:ascii="Times New Roman"/>
          <w:b/>
          <w:sz w:val="24"/>
          <w:szCs w:val="24"/>
        </w:rPr>
        <w:t xml:space="preserve"> </w:t>
      </w:r>
      <w:r w:rsidR="009776E4" w:rsidRPr="008A355F">
        <w:rPr>
          <w:rFonts w:ascii="Times New Roman"/>
          <w:b/>
          <w:sz w:val="24"/>
          <w:szCs w:val="24"/>
        </w:rPr>
        <w:t>5</w:t>
      </w:r>
      <w:r w:rsidRPr="008A355F">
        <w:rPr>
          <w:rFonts w:ascii="Times New Roman"/>
          <w:b/>
          <w:sz w:val="24"/>
          <w:szCs w:val="24"/>
        </w:rPr>
        <w:t>º</w:t>
      </w:r>
      <w:proofErr w:type="gramStart"/>
      <w:r w:rsidR="008A355F">
        <w:rPr>
          <w:rFonts w:ascii="Times New Roman"/>
          <w:b/>
          <w:sz w:val="24"/>
          <w:szCs w:val="24"/>
        </w:rPr>
        <w:t xml:space="preserve"> </w:t>
      </w:r>
      <w:r w:rsidRPr="008A355F">
        <w:rPr>
          <w:rFonts w:ascii="Times New Roman"/>
          <w:sz w:val="24"/>
          <w:szCs w:val="24"/>
        </w:rPr>
        <w:t xml:space="preserve"> </w:t>
      </w:r>
      <w:proofErr w:type="gramEnd"/>
      <w:r w:rsidRPr="008A355F">
        <w:rPr>
          <w:rFonts w:ascii="Times New Roman"/>
          <w:sz w:val="24"/>
          <w:szCs w:val="24"/>
        </w:rPr>
        <w:t xml:space="preserve">Todas as despesas decorrentes das transferências de imóveis ao RPPS para equacionamento de </w:t>
      </w:r>
      <w:r w:rsidRPr="00F042C6">
        <w:rPr>
          <w:rFonts w:ascii="Times New Roman"/>
          <w:i/>
          <w:sz w:val="24"/>
          <w:szCs w:val="24"/>
        </w:rPr>
        <w:t xml:space="preserve">déficit </w:t>
      </w:r>
      <w:r w:rsidRPr="008A355F">
        <w:rPr>
          <w:rFonts w:ascii="Times New Roman"/>
          <w:sz w:val="24"/>
          <w:szCs w:val="24"/>
        </w:rPr>
        <w:t>atuarial são de responsabilidade do Poder Executivo Municipal.</w:t>
      </w:r>
    </w:p>
    <w:p w:rsidR="008A355F" w:rsidRPr="008A355F" w:rsidRDefault="008A355F" w:rsidP="008A355F">
      <w:pPr>
        <w:spacing w:after="0" w:line="240" w:lineRule="auto"/>
        <w:ind w:firstLine="1418"/>
        <w:jc w:val="both"/>
        <w:rPr>
          <w:rFonts w:ascii="Times New Roman"/>
          <w:sz w:val="24"/>
          <w:szCs w:val="24"/>
        </w:rPr>
      </w:pPr>
    </w:p>
    <w:p w:rsidR="006D1EA5" w:rsidRDefault="00C700D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Art. 5º</w:t>
      </w:r>
      <w:proofErr w:type="gramStart"/>
      <w:r w:rsidRPr="008A355F">
        <w:rPr>
          <w:rFonts w:ascii="Times New Roman"/>
          <w:b/>
          <w:sz w:val="24"/>
          <w:szCs w:val="24"/>
          <w:shd w:val="clear" w:color="auto" w:fill="FFFFFF"/>
        </w:rPr>
        <w:t xml:space="preserve"> </w:t>
      </w:r>
      <w:r w:rsidRPr="008A355F">
        <w:rPr>
          <w:rFonts w:ascii="Times New Roman"/>
          <w:sz w:val="24"/>
          <w:szCs w:val="24"/>
          <w:shd w:val="clear" w:color="auto" w:fill="FFFFFF"/>
        </w:rPr>
        <w:t xml:space="preserve"> </w:t>
      </w:r>
      <w:proofErr w:type="gramEnd"/>
      <w:r w:rsidRPr="008A355F">
        <w:rPr>
          <w:rFonts w:ascii="Times New Roman"/>
          <w:sz w:val="24"/>
          <w:szCs w:val="24"/>
          <w:shd w:val="clear" w:color="auto" w:fill="FFFFFF"/>
        </w:rPr>
        <w:t>Caberá ao Conselho de Administração do PREVIMPA deliberar sobre o aceite da transferência dos bens imóveis pelo Município, nos termos da Lei Complementar nº 478</w:t>
      </w:r>
      <w:r w:rsidR="00B43707">
        <w:rPr>
          <w:rFonts w:ascii="Times New Roman"/>
          <w:sz w:val="24"/>
          <w:szCs w:val="24"/>
          <w:shd w:val="clear" w:color="auto" w:fill="FFFFFF"/>
        </w:rPr>
        <w:t>,</w:t>
      </w:r>
      <w:r w:rsidRPr="008A355F">
        <w:rPr>
          <w:rFonts w:ascii="Times New Roman"/>
          <w:sz w:val="24"/>
          <w:szCs w:val="24"/>
          <w:shd w:val="clear" w:color="auto" w:fill="FFFFFF"/>
        </w:rPr>
        <w:t xml:space="preserve"> de 26 de Setembro de 2002, observado o disposto na Lei Complementar nº 505, de 2004, nesta Lei e demais normas </w:t>
      </w:r>
      <w:r w:rsidR="00BD1672" w:rsidRPr="008A355F">
        <w:rPr>
          <w:rFonts w:ascii="Times New Roman"/>
          <w:sz w:val="24"/>
          <w:szCs w:val="24"/>
          <w:shd w:val="clear" w:color="auto" w:fill="FFFFFF"/>
        </w:rPr>
        <w:t xml:space="preserve">municipais e federais </w:t>
      </w:r>
      <w:r w:rsidRPr="008A355F">
        <w:rPr>
          <w:rFonts w:ascii="Times New Roman"/>
          <w:sz w:val="24"/>
          <w:szCs w:val="24"/>
          <w:shd w:val="clear" w:color="auto" w:fill="FFFFFF"/>
        </w:rPr>
        <w:t>aplicáveis aos Regimes Próprios de Previdência Social.</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C700D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 xml:space="preserve">Parágrafo </w:t>
      </w:r>
      <w:r w:rsidR="008A355F" w:rsidRPr="008A355F">
        <w:rPr>
          <w:rFonts w:ascii="Times New Roman"/>
          <w:b/>
          <w:sz w:val="24"/>
          <w:szCs w:val="24"/>
          <w:shd w:val="clear" w:color="auto" w:fill="FFFFFF"/>
        </w:rPr>
        <w:t>único</w:t>
      </w:r>
      <w:r w:rsidRPr="008A355F">
        <w:rPr>
          <w:rFonts w:ascii="Times New Roman"/>
          <w:b/>
          <w:sz w:val="24"/>
          <w:szCs w:val="24"/>
          <w:shd w:val="clear" w:color="auto" w:fill="FFFFFF"/>
        </w:rPr>
        <w:t>.</w:t>
      </w:r>
      <w:r w:rsidRPr="008A355F">
        <w:rPr>
          <w:rFonts w:ascii="Times New Roman"/>
          <w:sz w:val="24"/>
          <w:szCs w:val="24"/>
          <w:shd w:val="clear" w:color="auto" w:fill="FFFFFF"/>
        </w:rPr>
        <w:t xml:space="preserve"> A deliberação do Conselho de Administração será subsidiada por Declaração do não comprometimento da liquidez do fundo, face aos ativos imobilizados, emitida pelo Diretor-Geral do </w:t>
      </w:r>
      <w:r w:rsidR="00B43707" w:rsidRPr="008A355F">
        <w:rPr>
          <w:rFonts w:ascii="Times New Roman"/>
          <w:sz w:val="24"/>
          <w:szCs w:val="24"/>
          <w:shd w:val="clear" w:color="auto" w:fill="FFFFFF"/>
        </w:rPr>
        <w:t>PREVIMPA</w:t>
      </w:r>
      <w:r w:rsidRPr="008A355F">
        <w:rPr>
          <w:rFonts w:ascii="Times New Roman"/>
          <w:sz w:val="24"/>
          <w:szCs w:val="24"/>
          <w:shd w:val="clear" w:color="auto" w:fill="FFFFFF"/>
        </w:rPr>
        <w:t>, com base em relatórios e demonstrativos apresentados pela Diretoria Administrativo-Financeira.</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8A355F" w:rsidP="008A355F">
      <w:pPr>
        <w:spacing w:after="0" w:line="240" w:lineRule="auto"/>
        <w:ind w:firstLine="1418"/>
        <w:jc w:val="both"/>
        <w:rPr>
          <w:rFonts w:ascii="Times New Roman"/>
          <w:sz w:val="24"/>
          <w:szCs w:val="24"/>
          <w:shd w:val="clear" w:color="auto" w:fill="FFFFFF"/>
        </w:rPr>
      </w:pPr>
      <w:r>
        <w:rPr>
          <w:rFonts w:ascii="Times New Roman"/>
          <w:b/>
          <w:sz w:val="24"/>
          <w:szCs w:val="24"/>
          <w:shd w:val="clear" w:color="auto" w:fill="FFFFFF"/>
        </w:rPr>
        <w:t>Art. 6º</w:t>
      </w:r>
      <w:proofErr w:type="gramStart"/>
      <w:r w:rsidR="00C700D5" w:rsidRPr="008A355F">
        <w:rPr>
          <w:rFonts w:ascii="Times New Roman"/>
          <w:sz w:val="24"/>
          <w:szCs w:val="24"/>
          <w:shd w:val="clear" w:color="auto" w:fill="FFFFFF"/>
        </w:rPr>
        <w:t xml:space="preserve"> </w:t>
      </w:r>
      <w:r>
        <w:rPr>
          <w:rFonts w:ascii="Times New Roman"/>
          <w:sz w:val="24"/>
          <w:szCs w:val="24"/>
          <w:shd w:val="clear" w:color="auto" w:fill="FFFFFF"/>
        </w:rPr>
        <w:t xml:space="preserve"> </w:t>
      </w:r>
      <w:proofErr w:type="gramEnd"/>
      <w:r w:rsidR="00C700D5" w:rsidRPr="008A355F">
        <w:rPr>
          <w:rFonts w:ascii="Times New Roman"/>
          <w:sz w:val="24"/>
          <w:szCs w:val="24"/>
          <w:shd w:val="clear" w:color="auto" w:fill="FFFFFF"/>
        </w:rPr>
        <w:t xml:space="preserve">O bens imóveis recebidos em dação de pagamento do </w:t>
      </w:r>
      <w:r w:rsidR="00C700D5" w:rsidRPr="00F042C6">
        <w:rPr>
          <w:rFonts w:ascii="Times New Roman"/>
          <w:i/>
          <w:sz w:val="24"/>
          <w:szCs w:val="24"/>
          <w:shd w:val="clear" w:color="auto" w:fill="FFFFFF"/>
        </w:rPr>
        <w:t>déficit</w:t>
      </w:r>
      <w:r w:rsidR="00C700D5" w:rsidRPr="008A355F">
        <w:rPr>
          <w:rFonts w:ascii="Times New Roman"/>
          <w:sz w:val="24"/>
          <w:szCs w:val="24"/>
          <w:shd w:val="clear" w:color="auto" w:fill="FFFFFF"/>
        </w:rPr>
        <w:t xml:space="preserve"> atuarial poderão ser destinados para:</w:t>
      </w:r>
    </w:p>
    <w:p w:rsidR="00A44D0B" w:rsidRDefault="00A44D0B" w:rsidP="008A355F">
      <w:pPr>
        <w:spacing w:after="0" w:line="240" w:lineRule="auto"/>
        <w:ind w:firstLine="1418"/>
        <w:jc w:val="both"/>
        <w:rPr>
          <w:rFonts w:ascii="Times New Roman"/>
          <w:sz w:val="24"/>
          <w:szCs w:val="24"/>
          <w:shd w:val="clear" w:color="auto" w:fill="FFFFFF"/>
        </w:rPr>
      </w:pPr>
    </w:p>
    <w:p w:rsidR="006D1EA5" w:rsidRDefault="00C700D5" w:rsidP="00B43707">
      <w:pPr>
        <w:spacing w:after="0" w:line="240" w:lineRule="auto"/>
        <w:ind w:firstLine="1418"/>
        <w:jc w:val="both"/>
        <w:rPr>
          <w:rFonts w:ascii="Times New Roman"/>
          <w:sz w:val="24"/>
          <w:szCs w:val="24"/>
          <w:shd w:val="clear" w:color="auto" w:fill="FFFFFF"/>
        </w:rPr>
      </w:pPr>
      <w:r w:rsidRPr="008A355F">
        <w:rPr>
          <w:rFonts w:ascii="Times New Roman"/>
          <w:sz w:val="24"/>
          <w:szCs w:val="24"/>
          <w:shd w:val="clear" w:color="auto" w:fill="FFFFFF"/>
        </w:rPr>
        <w:t xml:space="preserve">I </w:t>
      </w:r>
      <w:r w:rsidR="00B43707">
        <w:rPr>
          <w:rFonts w:ascii="Times New Roman"/>
          <w:sz w:val="24"/>
          <w:szCs w:val="24"/>
          <w:shd w:val="clear" w:color="auto" w:fill="FFFFFF"/>
        </w:rPr>
        <w:t>–</w:t>
      </w:r>
      <w:r w:rsidRPr="008A355F">
        <w:rPr>
          <w:rFonts w:ascii="Times New Roman"/>
          <w:sz w:val="24"/>
          <w:szCs w:val="24"/>
          <w:shd w:val="clear" w:color="auto" w:fill="FFFFFF"/>
        </w:rPr>
        <w:t xml:space="preserve"> permissão de uso;</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C700D5" w:rsidP="008A355F">
      <w:pPr>
        <w:spacing w:after="0" w:line="240" w:lineRule="auto"/>
        <w:ind w:firstLine="1418"/>
        <w:jc w:val="both"/>
        <w:rPr>
          <w:rFonts w:ascii="Times New Roman"/>
          <w:sz w:val="24"/>
          <w:szCs w:val="24"/>
          <w:shd w:val="clear" w:color="auto" w:fill="FFFFFF"/>
        </w:rPr>
      </w:pPr>
      <w:r w:rsidRPr="008A355F">
        <w:rPr>
          <w:rFonts w:ascii="Times New Roman"/>
          <w:sz w:val="24"/>
          <w:szCs w:val="24"/>
          <w:shd w:val="clear" w:color="auto" w:fill="FFFFFF"/>
        </w:rPr>
        <w:t xml:space="preserve">II – concessão de uso e suas modalidades; </w:t>
      </w:r>
      <w:proofErr w:type="gramStart"/>
      <w:r w:rsidRPr="008A355F">
        <w:rPr>
          <w:rFonts w:ascii="Times New Roman"/>
          <w:sz w:val="24"/>
          <w:szCs w:val="24"/>
          <w:shd w:val="clear" w:color="auto" w:fill="FFFFFF"/>
        </w:rPr>
        <w:t>e</w:t>
      </w:r>
      <w:proofErr w:type="gramEnd"/>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8A355F" w:rsidP="008A355F">
      <w:pPr>
        <w:spacing w:after="0" w:line="240" w:lineRule="auto"/>
        <w:ind w:firstLine="1418"/>
        <w:jc w:val="both"/>
        <w:rPr>
          <w:rFonts w:ascii="Times New Roman"/>
          <w:sz w:val="24"/>
          <w:szCs w:val="24"/>
          <w:shd w:val="clear" w:color="auto" w:fill="FFFFFF"/>
        </w:rPr>
      </w:pPr>
      <w:r>
        <w:rPr>
          <w:rFonts w:ascii="Times New Roman"/>
          <w:sz w:val="24"/>
          <w:szCs w:val="24"/>
          <w:shd w:val="clear" w:color="auto" w:fill="FFFFFF"/>
        </w:rPr>
        <w:t>III – venda.</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3117E0"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w:t>
      </w:r>
      <w:r w:rsidR="008A355F" w:rsidRPr="008A355F">
        <w:rPr>
          <w:rFonts w:ascii="Times New Roman"/>
          <w:b/>
          <w:sz w:val="24"/>
          <w:szCs w:val="24"/>
          <w:shd w:val="clear" w:color="auto" w:fill="FFFFFF"/>
        </w:rPr>
        <w:t xml:space="preserve"> </w:t>
      </w:r>
      <w:r w:rsidR="004F46F5" w:rsidRPr="008A355F">
        <w:rPr>
          <w:rFonts w:ascii="Times New Roman"/>
          <w:b/>
          <w:sz w:val="24"/>
          <w:szCs w:val="24"/>
          <w:shd w:val="clear" w:color="auto" w:fill="FFFFFF"/>
        </w:rPr>
        <w:t>1</w:t>
      </w:r>
      <w:r w:rsidRPr="008A355F">
        <w:rPr>
          <w:rFonts w:ascii="Times New Roman"/>
          <w:b/>
          <w:sz w:val="24"/>
          <w:szCs w:val="24"/>
          <w:shd w:val="clear" w:color="auto" w:fill="FFFFFF"/>
        </w:rPr>
        <w:t>º</w:t>
      </w:r>
      <w:proofErr w:type="gramStart"/>
      <w:r w:rsidR="00C700D5" w:rsidRPr="008A355F">
        <w:rPr>
          <w:rFonts w:ascii="Times New Roman"/>
          <w:sz w:val="24"/>
          <w:szCs w:val="24"/>
          <w:shd w:val="clear" w:color="auto" w:fill="FFFFFF"/>
        </w:rPr>
        <w:t xml:space="preserve"> </w:t>
      </w:r>
      <w:r w:rsidR="008A355F">
        <w:rPr>
          <w:rFonts w:ascii="Times New Roman"/>
          <w:sz w:val="24"/>
          <w:szCs w:val="24"/>
          <w:shd w:val="clear" w:color="auto" w:fill="FFFFFF"/>
        </w:rPr>
        <w:t xml:space="preserve"> </w:t>
      </w:r>
      <w:proofErr w:type="gramEnd"/>
      <w:r w:rsidR="00C700D5" w:rsidRPr="008A355F">
        <w:rPr>
          <w:rFonts w:ascii="Times New Roman"/>
          <w:sz w:val="24"/>
          <w:szCs w:val="24"/>
          <w:shd w:val="clear" w:color="auto" w:fill="FFFFFF"/>
        </w:rPr>
        <w:t xml:space="preserve">A destinação referida no </w:t>
      </w:r>
      <w:r w:rsidR="00C700D5" w:rsidRPr="00B43707">
        <w:rPr>
          <w:rFonts w:ascii="Times New Roman"/>
          <w:i/>
          <w:sz w:val="24"/>
          <w:szCs w:val="24"/>
          <w:shd w:val="clear" w:color="auto" w:fill="FFFFFF"/>
        </w:rPr>
        <w:t>caput</w:t>
      </w:r>
      <w:r w:rsidR="00C700D5" w:rsidRPr="008A355F">
        <w:rPr>
          <w:rFonts w:ascii="Times New Roman"/>
          <w:sz w:val="24"/>
          <w:szCs w:val="24"/>
          <w:shd w:val="clear" w:color="auto" w:fill="FFFFFF"/>
        </w:rPr>
        <w:t xml:space="preserve"> </w:t>
      </w:r>
      <w:r w:rsidR="00B43707">
        <w:rPr>
          <w:rFonts w:ascii="Times New Roman"/>
          <w:sz w:val="24"/>
          <w:szCs w:val="24"/>
          <w:shd w:val="clear" w:color="auto" w:fill="FFFFFF"/>
        </w:rPr>
        <w:t xml:space="preserve">deste artigo </w:t>
      </w:r>
      <w:r w:rsidR="00C700D5" w:rsidRPr="008A355F">
        <w:rPr>
          <w:rFonts w:ascii="Times New Roman"/>
          <w:sz w:val="24"/>
          <w:szCs w:val="24"/>
          <w:shd w:val="clear" w:color="auto" w:fill="FFFFFF"/>
        </w:rPr>
        <w:t xml:space="preserve">será precedida de Parecer do Comitê de Investimentos e deliberada pelo Conselho de Administração do </w:t>
      </w:r>
      <w:r w:rsidR="00B43707" w:rsidRPr="008A355F">
        <w:rPr>
          <w:rFonts w:ascii="Times New Roman"/>
          <w:sz w:val="24"/>
          <w:szCs w:val="24"/>
          <w:shd w:val="clear" w:color="auto" w:fill="FFFFFF"/>
        </w:rPr>
        <w:t>PREVIMPA</w:t>
      </w:r>
      <w:r w:rsidR="00C700D5" w:rsidRPr="008A355F">
        <w:rPr>
          <w:rFonts w:ascii="Times New Roman"/>
          <w:sz w:val="24"/>
          <w:szCs w:val="24"/>
          <w:shd w:val="clear" w:color="auto" w:fill="FFFFFF"/>
        </w:rPr>
        <w:t>.</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4F46F5" w:rsidRDefault="004F46F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w:t>
      </w:r>
      <w:r w:rsidR="008A355F" w:rsidRPr="008A355F">
        <w:rPr>
          <w:rFonts w:ascii="Times New Roman"/>
          <w:b/>
          <w:sz w:val="24"/>
          <w:szCs w:val="24"/>
          <w:shd w:val="clear" w:color="auto" w:fill="FFFFFF"/>
        </w:rPr>
        <w:t xml:space="preserve"> </w:t>
      </w:r>
      <w:r w:rsidRPr="008A355F">
        <w:rPr>
          <w:rFonts w:ascii="Times New Roman"/>
          <w:b/>
          <w:sz w:val="24"/>
          <w:szCs w:val="24"/>
          <w:shd w:val="clear" w:color="auto" w:fill="FFFFFF"/>
        </w:rPr>
        <w:t>2º</w:t>
      </w:r>
      <w:proofErr w:type="gramStart"/>
      <w:r w:rsidRPr="008A355F">
        <w:rPr>
          <w:rFonts w:ascii="Times New Roman"/>
          <w:sz w:val="24"/>
          <w:szCs w:val="24"/>
          <w:shd w:val="clear" w:color="auto" w:fill="FFFFFF"/>
        </w:rPr>
        <w:t xml:space="preserve"> </w:t>
      </w:r>
      <w:r w:rsidR="008A355F">
        <w:rPr>
          <w:rFonts w:ascii="Times New Roman"/>
          <w:sz w:val="24"/>
          <w:szCs w:val="24"/>
          <w:shd w:val="clear" w:color="auto" w:fill="FFFFFF"/>
        </w:rPr>
        <w:t xml:space="preserve"> </w:t>
      </w:r>
      <w:proofErr w:type="gramEnd"/>
      <w:r w:rsidRPr="008A355F">
        <w:rPr>
          <w:rFonts w:ascii="Times New Roman"/>
          <w:sz w:val="24"/>
          <w:szCs w:val="24"/>
          <w:shd w:val="clear" w:color="auto" w:fill="FFFFFF"/>
        </w:rPr>
        <w:t>Os imóveis integram o Plano de Investimentos do RPPS.</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6D1EA5" w:rsidRDefault="00061482"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w:t>
      </w:r>
      <w:r w:rsidR="008A355F">
        <w:rPr>
          <w:rFonts w:ascii="Times New Roman"/>
          <w:b/>
          <w:sz w:val="24"/>
          <w:szCs w:val="24"/>
          <w:shd w:val="clear" w:color="auto" w:fill="FFFFFF"/>
        </w:rPr>
        <w:t xml:space="preserve"> </w:t>
      </w:r>
      <w:r w:rsidRPr="008A355F">
        <w:rPr>
          <w:rFonts w:ascii="Times New Roman"/>
          <w:b/>
          <w:sz w:val="24"/>
          <w:szCs w:val="24"/>
          <w:shd w:val="clear" w:color="auto" w:fill="FFFFFF"/>
        </w:rPr>
        <w:t>3</w:t>
      </w:r>
      <w:r w:rsidR="00C700D5" w:rsidRPr="008A355F">
        <w:rPr>
          <w:rFonts w:ascii="Times New Roman"/>
          <w:b/>
          <w:sz w:val="24"/>
          <w:szCs w:val="24"/>
          <w:shd w:val="clear" w:color="auto" w:fill="FFFFFF"/>
        </w:rPr>
        <w:t>º</w:t>
      </w:r>
      <w:proofErr w:type="gramStart"/>
      <w:r w:rsidR="00C700D5" w:rsidRPr="008A355F">
        <w:rPr>
          <w:rFonts w:ascii="Times New Roman"/>
          <w:b/>
          <w:sz w:val="24"/>
          <w:szCs w:val="24"/>
          <w:shd w:val="clear" w:color="auto" w:fill="FFFFFF"/>
        </w:rPr>
        <w:t xml:space="preserve"> </w:t>
      </w:r>
      <w:r w:rsidR="008A355F">
        <w:rPr>
          <w:rFonts w:ascii="Times New Roman"/>
          <w:b/>
          <w:sz w:val="24"/>
          <w:szCs w:val="24"/>
          <w:shd w:val="clear" w:color="auto" w:fill="FFFFFF"/>
        </w:rPr>
        <w:t xml:space="preserve"> </w:t>
      </w:r>
      <w:proofErr w:type="gramEnd"/>
      <w:r w:rsidR="00C700D5" w:rsidRPr="008A355F">
        <w:rPr>
          <w:rFonts w:ascii="Times New Roman"/>
          <w:sz w:val="24"/>
          <w:szCs w:val="24"/>
          <w:shd w:val="clear" w:color="auto" w:fill="FFFFFF"/>
        </w:rPr>
        <w:t>Os imóveis poderão ser utilizados para a aquisição de cotas de fundos de investimento imobiliário, cujas cotas sejam negociadas em ambiente de bolsa de valores, conforme o art</w:t>
      </w:r>
      <w:r w:rsidR="00B43707">
        <w:rPr>
          <w:rFonts w:ascii="Times New Roman"/>
          <w:sz w:val="24"/>
          <w:szCs w:val="24"/>
          <w:shd w:val="clear" w:color="auto" w:fill="FFFFFF"/>
        </w:rPr>
        <w:t>.</w:t>
      </w:r>
      <w:r w:rsidR="00C700D5" w:rsidRPr="008A355F">
        <w:rPr>
          <w:rFonts w:ascii="Times New Roman"/>
          <w:sz w:val="24"/>
          <w:szCs w:val="24"/>
          <w:shd w:val="clear" w:color="auto" w:fill="FFFFFF"/>
        </w:rPr>
        <w:t xml:space="preserve"> 9º, parágrafo único</w:t>
      </w:r>
      <w:r w:rsidR="008F0016" w:rsidRPr="008A355F">
        <w:rPr>
          <w:rFonts w:ascii="Times New Roman"/>
          <w:sz w:val="24"/>
          <w:szCs w:val="24"/>
          <w:shd w:val="clear" w:color="auto" w:fill="FFFFFF"/>
        </w:rPr>
        <w:t>,</w:t>
      </w:r>
      <w:r w:rsidR="00C700D5" w:rsidRPr="008A355F">
        <w:rPr>
          <w:rFonts w:ascii="Times New Roman"/>
          <w:sz w:val="24"/>
          <w:szCs w:val="24"/>
          <w:shd w:val="clear" w:color="auto" w:fill="FFFFFF"/>
        </w:rPr>
        <w:t xml:space="preserve"> da Resolução do Conselho Monetário Nacional nº 3922 de 25</w:t>
      </w:r>
      <w:r w:rsidR="00B43707">
        <w:rPr>
          <w:rFonts w:ascii="Times New Roman"/>
          <w:sz w:val="24"/>
          <w:szCs w:val="24"/>
          <w:shd w:val="clear" w:color="auto" w:fill="FFFFFF"/>
        </w:rPr>
        <w:t xml:space="preserve"> de novembro de 2010</w:t>
      </w:r>
      <w:r w:rsidR="00C700D5" w:rsidRPr="008A355F">
        <w:rPr>
          <w:rFonts w:ascii="Times New Roman"/>
          <w:sz w:val="24"/>
          <w:szCs w:val="24"/>
          <w:shd w:val="clear" w:color="auto" w:fill="FFFFFF"/>
        </w:rPr>
        <w:t xml:space="preserve"> e alterações posteriores, mediante parecer do Comitê de Investimentos e aprovação pelo Conselho de Administração do PREVIMPA.</w:t>
      </w:r>
    </w:p>
    <w:p w:rsidR="008A355F" w:rsidRPr="008A355F" w:rsidRDefault="008A355F" w:rsidP="008A355F">
      <w:pPr>
        <w:spacing w:after="0" w:line="240" w:lineRule="auto"/>
        <w:ind w:firstLine="1418"/>
        <w:jc w:val="both"/>
        <w:rPr>
          <w:rFonts w:ascii="Times New Roman"/>
          <w:sz w:val="24"/>
          <w:szCs w:val="24"/>
          <w:shd w:val="clear" w:color="auto" w:fill="FFFFFF"/>
        </w:rPr>
      </w:pPr>
    </w:p>
    <w:p w:rsidR="008A355F" w:rsidRDefault="00C700D5" w:rsidP="008A355F">
      <w:pPr>
        <w:spacing w:after="0" w:line="240" w:lineRule="auto"/>
        <w:ind w:firstLine="1418"/>
        <w:jc w:val="both"/>
        <w:rPr>
          <w:rFonts w:ascii="Times New Roman"/>
          <w:sz w:val="24"/>
          <w:szCs w:val="24"/>
          <w:shd w:val="clear" w:color="auto" w:fill="FFFFFF"/>
        </w:rPr>
      </w:pPr>
      <w:r w:rsidRPr="008A355F">
        <w:rPr>
          <w:rFonts w:ascii="Times New Roman"/>
          <w:b/>
          <w:sz w:val="24"/>
          <w:szCs w:val="24"/>
          <w:shd w:val="clear" w:color="auto" w:fill="FFFFFF"/>
        </w:rPr>
        <w:t>Art.7º</w:t>
      </w:r>
      <w:proofErr w:type="gramStart"/>
      <w:r w:rsidRPr="008A355F">
        <w:rPr>
          <w:rFonts w:ascii="Times New Roman"/>
          <w:sz w:val="24"/>
          <w:szCs w:val="24"/>
          <w:shd w:val="clear" w:color="auto" w:fill="FFFFFF"/>
        </w:rPr>
        <w:t xml:space="preserve"> </w:t>
      </w:r>
      <w:r w:rsidR="008A355F">
        <w:rPr>
          <w:rFonts w:ascii="Times New Roman"/>
          <w:sz w:val="24"/>
          <w:szCs w:val="24"/>
          <w:shd w:val="clear" w:color="auto" w:fill="FFFFFF"/>
        </w:rPr>
        <w:t xml:space="preserve"> </w:t>
      </w:r>
      <w:proofErr w:type="gramEnd"/>
      <w:r w:rsidRPr="008A355F">
        <w:rPr>
          <w:rFonts w:ascii="Times New Roman"/>
          <w:sz w:val="24"/>
          <w:szCs w:val="24"/>
          <w:shd w:val="clear" w:color="auto" w:fill="FFFFFF"/>
        </w:rPr>
        <w:t xml:space="preserve">Excetuada a amortização do </w:t>
      </w:r>
      <w:r w:rsidRPr="00F042C6">
        <w:rPr>
          <w:rFonts w:ascii="Times New Roman"/>
          <w:i/>
          <w:sz w:val="24"/>
          <w:szCs w:val="24"/>
          <w:shd w:val="clear" w:color="auto" w:fill="FFFFFF"/>
        </w:rPr>
        <w:t>déficit</w:t>
      </w:r>
      <w:r w:rsidRPr="008A355F">
        <w:rPr>
          <w:rFonts w:ascii="Times New Roman"/>
          <w:sz w:val="24"/>
          <w:szCs w:val="24"/>
          <w:shd w:val="clear" w:color="auto" w:fill="FFFFFF"/>
        </w:rPr>
        <w:t xml:space="preserve"> atuarial, é vedada a dação de bens, direitos e demais ativos de qualquer natureza para o pagamento de </w:t>
      </w:r>
      <w:r w:rsidR="00326119" w:rsidRPr="008A355F">
        <w:rPr>
          <w:rFonts w:ascii="Times New Roman"/>
          <w:sz w:val="24"/>
          <w:szCs w:val="24"/>
          <w:shd w:val="clear" w:color="auto" w:fill="FFFFFF"/>
        </w:rPr>
        <w:t xml:space="preserve">contribuições previdenciárias vencidas e demais </w:t>
      </w:r>
      <w:r w:rsidRPr="008A355F">
        <w:rPr>
          <w:rFonts w:ascii="Times New Roman"/>
          <w:sz w:val="24"/>
          <w:szCs w:val="24"/>
          <w:shd w:val="clear" w:color="auto" w:fill="FFFFFF"/>
        </w:rPr>
        <w:t xml:space="preserve">débitos com o </w:t>
      </w:r>
      <w:r w:rsidR="00B43707">
        <w:rPr>
          <w:rFonts w:ascii="Times New Roman"/>
          <w:sz w:val="24"/>
          <w:szCs w:val="24"/>
          <w:shd w:val="clear" w:color="auto" w:fill="FFFFFF"/>
        </w:rPr>
        <w:t>RPPS.</w:t>
      </w:r>
      <w:r w:rsidR="00B43707" w:rsidRPr="008A355F" w:rsidDel="00B43707">
        <w:rPr>
          <w:rFonts w:ascii="Times New Roman"/>
          <w:sz w:val="24"/>
          <w:szCs w:val="24"/>
          <w:shd w:val="clear" w:color="auto" w:fill="FFFFFF"/>
        </w:rPr>
        <w:t xml:space="preserve"> </w:t>
      </w:r>
    </w:p>
    <w:p w:rsidR="00F042C6" w:rsidRPr="008A355F" w:rsidRDefault="00F042C6" w:rsidP="008A355F">
      <w:pPr>
        <w:spacing w:after="0" w:line="240" w:lineRule="auto"/>
        <w:ind w:firstLine="1418"/>
        <w:jc w:val="both"/>
        <w:rPr>
          <w:rFonts w:ascii="Times New Roman"/>
          <w:sz w:val="24"/>
          <w:szCs w:val="24"/>
          <w:shd w:val="clear" w:color="auto" w:fill="FFFFFF"/>
        </w:rPr>
      </w:pPr>
    </w:p>
    <w:p w:rsidR="006D1EA5" w:rsidRPr="008A355F" w:rsidRDefault="00C700D5" w:rsidP="008A355F">
      <w:pPr>
        <w:spacing w:after="0" w:line="240" w:lineRule="auto"/>
        <w:ind w:firstLine="1418"/>
        <w:jc w:val="both"/>
        <w:rPr>
          <w:rFonts w:ascii="Times New Roman"/>
          <w:sz w:val="24"/>
          <w:szCs w:val="24"/>
          <w:lang w:eastAsia="pt-BR"/>
        </w:rPr>
      </w:pPr>
      <w:r w:rsidRPr="008A355F">
        <w:rPr>
          <w:rFonts w:ascii="Times New Roman"/>
          <w:b/>
          <w:sz w:val="24"/>
          <w:szCs w:val="24"/>
          <w:shd w:val="clear" w:color="auto" w:fill="FFFFFF"/>
        </w:rPr>
        <w:t>Art. 8º</w:t>
      </w:r>
      <w:proofErr w:type="gramStart"/>
      <w:r w:rsidR="008A355F">
        <w:rPr>
          <w:rFonts w:ascii="Times New Roman"/>
          <w:b/>
          <w:sz w:val="24"/>
          <w:szCs w:val="24"/>
          <w:shd w:val="clear" w:color="auto" w:fill="FFFFFF"/>
        </w:rPr>
        <w:t xml:space="preserve"> </w:t>
      </w:r>
      <w:r w:rsidRPr="008A355F">
        <w:rPr>
          <w:rFonts w:ascii="Times New Roman"/>
          <w:sz w:val="24"/>
          <w:szCs w:val="24"/>
          <w:shd w:val="clear" w:color="auto" w:fill="FFFFFF"/>
        </w:rPr>
        <w:t xml:space="preserve"> </w:t>
      </w:r>
      <w:proofErr w:type="gramEnd"/>
      <w:r w:rsidRPr="008A355F">
        <w:rPr>
          <w:rFonts w:ascii="Times New Roman"/>
          <w:sz w:val="24"/>
          <w:szCs w:val="24"/>
          <w:lang w:eastAsia="pt-BR"/>
        </w:rPr>
        <w:t xml:space="preserve">Esta Lei </w:t>
      </w:r>
      <w:r w:rsidR="00B43707">
        <w:rPr>
          <w:rFonts w:ascii="Times New Roman"/>
          <w:sz w:val="24"/>
          <w:szCs w:val="24"/>
          <w:lang w:eastAsia="pt-BR"/>
        </w:rPr>
        <w:t>C</w:t>
      </w:r>
      <w:r w:rsidRPr="008A355F">
        <w:rPr>
          <w:rFonts w:ascii="Times New Roman"/>
          <w:sz w:val="24"/>
          <w:szCs w:val="24"/>
          <w:lang w:eastAsia="pt-BR"/>
        </w:rPr>
        <w:t>omplementar entra em vigor na data de sua publicação.</w:t>
      </w:r>
    </w:p>
    <w:p w:rsidR="006D1EA5" w:rsidRPr="008A355F" w:rsidRDefault="006D1EA5" w:rsidP="008A355F">
      <w:pPr>
        <w:spacing w:after="0" w:line="240" w:lineRule="auto"/>
        <w:ind w:firstLine="1418"/>
        <w:jc w:val="both"/>
        <w:rPr>
          <w:rFonts w:ascii="Times New Roman"/>
          <w:sz w:val="24"/>
          <w:szCs w:val="24"/>
          <w:lang w:eastAsia="pt-BR"/>
        </w:rPr>
      </w:pPr>
    </w:p>
    <w:sectPr w:rsidR="006D1EA5" w:rsidRPr="008A355F" w:rsidSect="00275F5A">
      <w:footerReference w:type="default" r:id="rId8"/>
      <w:pgSz w:w="11906" w:h="16838" w:code="9"/>
      <w:pgMar w:top="2665" w:right="851" w:bottom="1701" w:left="1701" w:header="709" w:footer="141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C6" w:rsidRDefault="00F042C6" w:rsidP="00F042C6">
      <w:pPr>
        <w:spacing w:after="0" w:line="240" w:lineRule="auto"/>
      </w:pPr>
      <w:r>
        <w:separator/>
      </w:r>
    </w:p>
  </w:endnote>
  <w:endnote w:type="continuationSeparator" w:id="0">
    <w:p w:rsidR="00F042C6" w:rsidRDefault="00F042C6" w:rsidP="00F0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5802"/>
      <w:docPartObj>
        <w:docPartGallery w:val="Page Numbers (Bottom of Page)"/>
        <w:docPartUnique/>
      </w:docPartObj>
    </w:sdtPr>
    <w:sdtEndPr/>
    <w:sdtContent>
      <w:p w:rsidR="00275F5A" w:rsidRDefault="00275F5A">
        <w:pPr>
          <w:pStyle w:val="Rodap"/>
          <w:jc w:val="right"/>
        </w:pPr>
        <w:r>
          <w:fldChar w:fldCharType="begin"/>
        </w:r>
        <w:r>
          <w:instrText>PAGE   \* MERGEFORMAT</w:instrText>
        </w:r>
        <w:r>
          <w:fldChar w:fldCharType="separate"/>
        </w:r>
        <w:r w:rsidR="0095159D">
          <w:rPr>
            <w:noProof/>
          </w:rPr>
          <w:t>5</w:t>
        </w:r>
        <w:r>
          <w:fldChar w:fldCharType="end"/>
        </w:r>
      </w:p>
    </w:sdtContent>
  </w:sdt>
  <w:p w:rsidR="00F042C6" w:rsidRDefault="00F042C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C6" w:rsidRDefault="00F042C6" w:rsidP="00F042C6">
      <w:pPr>
        <w:spacing w:after="0" w:line="240" w:lineRule="auto"/>
      </w:pPr>
      <w:r>
        <w:separator/>
      </w:r>
    </w:p>
  </w:footnote>
  <w:footnote w:type="continuationSeparator" w:id="0">
    <w:p w:rsidR="00F042C6" w:rsidRDefault="00F042C6" w:rsidP="00F0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2C7"/>
    <w:multiLevelType w:val="hybridMultilevel"/>
    <w:tmpl w:val="853E3556"/>
    <w:lvl w:ilvl="0" w:tplc="A6A21664">
      <w:start w:val="1"/>
      <w:numFmt w:val="upperRoman"/>
      <w:lvlText w:val="%1)"/>
      <w:lvlJc w:val="left"/>
      <w:pPr>
        <w:ind w:left="1428" w:hanging="720"/>
      </w:pPr>
      <w:rPr>
        <w:rFonts w:eastAsia="Arial" w:hint="default"/>
        <w:b/>
      </w:rPr>
    </w:lvl>
    <w:lvl w:ilvl="1" w:tplc="3F82D2AE">
      <w:start w:val="1"/>
      <w:numFmt w:val="lowerLetter"/>
      <w:lvlText w:val="%2."/>
      <w:lvlJc w:val="left"/>
      <w:pPr>
        <w:ind w:left="1788" w:hanging="360"/>
      </w:pPr>
    </w:lvl>
    <w:lvl w:ilvl="2" w:tplc="FFCCDE92">
      <w:start w:val="1"/>
      <w:numFmt w:val="lowerRoman"/>
      <w:lvlText w:val="%3."/>
      <w:lvlJc w:val="right"/>
      <w:pPr>
        <w:ind w:left="2508" w:hanging="180"/>
      </w:pPr>
    </w:lvl>
    <w:lvl w:ilvl="3" w:tplc="07B27870">
      <w:start w:val="1"/>
      <w:numFmt w:val="decimal"/>
      <w:lvlText w:val="%4."/>
      <w:lvlJc w:val="left"/>
      <w:pPr>
        <w:ind w:left="3228" w:hanging="360"/>
      </w:pPr>
    </w:lvl>
    <w:lvl w:ilvl="4" w:tplc="DFA440DA">
      <w:start w:val="1"/>
      <w:numFmt w:val="lowerLetter"/>
      <w:lvlText w:val="%5."/>
      <w:lvlJc w:val="left"/>
      <w:pPr>
        <w:ind w:left="3948" w:hanging="360"/>
      </w:pPr>
    </w:lvl>
    <w:lvl w:ilvl="5" w:tplc="6B901436">
      <w:start w:val="1"/>
      <w:numFmt w:val="lowerRoman"/>
      <w:lvlText w:val="%6."/>
      <w:lvlJc w:val="right"/>
      <w:pPr>
        <w:ind w:left="4668" w:hanging="180"/>
      </w:pPr>
    </w:lvl>
    <w:lvl w:ilvl="6" w:tplc="B052A516">
      <w:start w:val="1"/>
      <w:numFmt w:val="decimal"/>
      <w:lvlText w:val="%7."/>
      <w:lvlJc w:val="left"/>
      <w:pPr>
        <w:ind w:left="5388" w:hanging="360"/>
      </w:pPr>
    </w:lvl>
    <w:lvl w:ilvl="7" w:tplc="BB64990C">
      <w:start w:val="1"/>
      <w:numFmt w:val="lowerLetter"/>
      <w:lvlText w:val="%8."/>
      <w:lvlJc w:val="left"/>
      <w:pPr>
        <w:ind w:left="6108" w:hanging="360"/>
      </w:pPr>
    </w:lvl>
    <w:lvl w:ilvl="8" w:tplc="0F3CE680">
      <w:start w:val="1"/>
      <w:numFmt w:val="lowerRoman"/>
      <w:lvlText w:val="%9."/>
      <w:lvlJc w:val="right"/>
      <w:pPr>
        <w:ind w:left="6828" w:hanging="180"/>
      </w:pPr>
    </w:lvl>
  </w:abstractNum>
  <w:abstractNum w:abstractNumId="1">
    <w:nsid w:val="7C483B51"/>
    <w:multiLevelType w:val="hybridMultilevel"/>
    <w:tmpl w:val="8346AA48"/>
    <w:lvl w:ilvl="0" w:tplc="3CC6E270">
      <w:start w:val="1"/>
      <w:numFmt w:val="upperRoman"/>
      <w:lvlText w:val="%1."/>
      <w:lvlJc w:val="right"/>
      <w:pPr>
        <w:ind w:left="1428" w:hanging="360"/>
      </w:pPr>
    </w:lvl>
    <w:lvl w:ilvl="1" w:tplc="6F1E5A06">
      <w:start w:val="1"/>
      <w:numFmt w:val="lowerLetter"/>
      <w:lvlText w:val="%2."/>
      <w:lvlJc w:val="left"/>
      <w:pPr>
        <w:ind w:left="2148" w:hanging="360"/>
      </w:pPr>
    </w:lvl>
    <w:lvl w:ilvl="2" w:tplc="1C820D86">
      <w:start w:val="1"/>
      <w:numFmt w:val="lowerRoman"/>
      <w:lvlText w:val="%3."/>
      <w:lvlJc w:val="right"/>
      <w:pPr>
        <w:ind w:left="2868" w:hanging="180"/>
      </w:pPr>
    </w:lvl>
    <w:lvl w:ilvl="3" w:tplc="3E48A38A">
      <w:start w:val="1"/>
      <w:numFmt w:val="decimal"/>
      <w:lvlText w:val="%4."/>
      <w:lvlJc w:val="left"/>
      <w:pPr>
        <w:ind w:left="3588" w:hanging="360"/>
      </w:pPr>
    </w:lvl>
    <w:lvl w:ilvl="4" w:tplc="6DCA727A">
      <w:start w:val="1"/>
      <w:numFmt w:val="lowerLetter"/>
      <w:lvlText w:val="%5."/>
      <w:lvlJc w:val="left"/>
      <w:pPr>
        <w:ind w:left="4308" w:hanging="360"/>
      </w:pPr>
    </w:lvl>
    <w:lvl w:ilvl="5" w:tplc="3782DCF8">
      <w:start w:val="1"/>
      <w:numFmt w:val="lowerRoman"/>
      <w:lvlText w:val="%6."/>
      <w:lvlJc w:val="right"/>
      <w:pPr>
        <w:ind w:left="5028" w:hanging="180"/>
      </w:pPr>
    </w:lvl>
    <w:lvl w:ilvl="6" w:tplc="A3E078BA">
      <w:start w:val="1"/>
      <w:numFmt w:val="decimal"/>
      <w:lvlText w:val="%7."/>
      <w:lvlJc w:val="left"/>
      <w:pPr>
        <w:ind w:left="5748" w:hanging="360"/>
      </w:pPr>
    </w:lvl>
    <w:lvl w:ilvl="7" w:tplc="DEFC1C9A">
      <w:start w:val="1"/>
      <w:numFmt w:val="lowerLetter"/>
      <w:lvlText w:val="%8."/>
      <w:lvlJc w:val="left"/>
      <w:pPr>
        <w:ind w:left="6468" w:hanging="360"/>
      </w:pPr>
    </w:lvl>
    <w:lvl w:ilvl="8" w:tplc="98244854">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A"/>
    <w:rsid w:val="00010F75"/>
    <w:rsid w:val="000152C2"/>
    <w:rsid w:val="0001600D"/>
    <w:rsid w:val="00020277"/>
    <w:rsid w:val="0003597B"/>
    <w:rsid w:val="00054842"/>
    <w:rsid w:val="00061482"/>
    <w:rsid w:val="00080B0C"/>
    <w:rsid w:val="000A06A2"/>
    <w:rsid w:val="000A2F20"/>
    <w:rsid w:val="000B32C1"/>
    <w:rsid w:val="000C7972"/>
    <w:rsid w:val="000D2D45"/>
    <w:rsid w:val="000D4E91"/>
    <w:rsid w:val="000E0825"/>
    <w:rsid w:val="000E2003"/>
    <w:rsid w:val="000F2DCD"/>
    <w:rsid w:val="0012335C"/>
    <w:rsid w:val="001564A8"/>
    <w:rsid w:val="00170B78"/>
    <w:rsid w:val="00174C95"/>
    <w:rsid w:val="001803EE"/>
    <w:rsid w:val="0018733B"/>
    <w:rsid w:val="001B0779"/>
    <w:rsid w:val="001B20E2"/>
    <w:rsid w:val="001C7D1E"/>
    <w:rsid w:val="001D26B6"/>
    <w:rsid w:val="001E3B87"/>
    <w:rsid w:val="001F1CA9"/>
    <w:rsid w:val="00211D54"/>
    <w:rsid w:val="00236F67"/>
    <w:rsid w:val="002457B3"/>
    <w:rsid w:val="002537A3"/>
    <w:rsid w:val="0027202B"/>
    <w:rsid w:val="00273858"/>
    <w:rsid w:val="00275F5A"/>
    <w:rsid w:val="00276E83"/>
    <w:rsid w:val="002A148D"/>
    <w:rsid w:val="002C3BBA"/>
    <w:rsid w:val="002D1045"/>
    <w:rsid w:val="002D47E4"/>
    <w:rsid w:val="00307AD5"/>
    <w:rsid w:val="00310DCF"/>
    <w:rsid w:val="003117E0"/>
    <w:rsid w:val="0032170B"/>
    <w:rsid w:val="00326119"/>
    <w:rsid w:val="00332246"/>
    <w:rsid w:val="00335BFB"/>
    <w:rsid w:val="00344887"/>
    <w:rsid w:val="00385809"/>
    <w:rsid w:val="003A2DE5"/>
    <w:rsid w:val="003C3431"/>
    <w:rsid w:val="003C5101"/>
    <w:rsid w:val="003D276A"/>
    <w:rsid w:val="003D27FB"/>
    <w:rsid w:val="003E1513"/>
    <w:rsid w:val="003E4644"/>
    <w:rsid w:val="003E7E8A"/>
    <w:rsid w:val="0041264C"/>
    <w:rsid w:val="0041265E"/>
    <w:rsid w:val="004444D6"/>
    <w:rsid w:val="00460D22"/>
    <w:rsid w:val="00465592"/>
    <w:rsid w:val="00467272"/>
    <w:rsid w:val="0047492B"/>
    <w:rsid w:val="00484FDE"/>
    <w:rsid w:val="004A3247"/>
    <w:rsid w:val="004B6D1F"/>
    <w:rsid w:val="004F46F5"/>
    <w:rsid w:val="004F5C4E"/>
    <w:rsid w:val="00503037"/>
    <w:rsid w:val="005071E3"/>
    <w:rsid w:val="005165DE"/>
    <w:rsid w:val="00521B53"/>
    <w:rsid w:val="005230E6"/>
    <w:rsid w:val="00562AAF"/>
    <w:rsid w:val="00563676"/>
    <w:rsid w:val="0056688E"/>
    <w:rsid w:val="005D2A7D"/>
    <w:rsid w:val="005F645B"/>
    <w:rsid w:val="005F7FD0"/>
    <w:rsid w:val="00605166"/>
    <w:rsid w:val="0060618A"/>
    <w:rsid w:val="00633A83"/>
    <w:rsid w:val="00633ACE"/>
    <w:rsid w:val="0069346E"/>
    <w:rsid w:val="006C2C0F"/>
    <w:rsid w:val="006C2CBB"/>
    <w:rsid w:val="006D1EA5"/>
    <w:rsid w:val="006E4BA4"/>
    <w:rsid w:val="006F24F3"/>
    <w:rsid w:val="007252E2"/>
    <w:rsid w:val="00764C37"/>
    <w:rsid w:val="00772BB2"/>
    <w:rsid w:val="00795489"/>
    <w:rsid w:val="007A0FEE"/>
    <w:rsid w:val="007A5304"/>
    <w:rsid w:val="007B0B3C"/>
    <w:rsid w:val="007B1EBD"/>
    <w:rsid w:val="007B4016"/>
    <w:rsid w:val="007B45BE"/>
    <w:rsid w:val="007D5987"/>
    <w:rsid w:val="007E404A"/>
    <w:rsid w:val="007E49CC"/>
    <w:rsid w:val="007F1019"/>
    <w:rsid w:val="007F19CC"/>
    <w:rsid w:val="007F32CF"/>
    <w:rsid w:val="008119A3"/>
    <w:rsid w:val="00813F87"/>
    <w:rsid w:val="008369E3"/>
    <w:rsid w:val="00843183"/>
    <w:rsid w:val="008648EA"/>
    <w:rsid w:val="0088609F"/>
    <w:rsid w:val="00890E33"/>
    <w:rsid w:val="0089395F"/>
    <w:rsid w:val="008A212B"/>
    <w:rsid w:val="008A355F"/>
    <w:rsid w:val="008B2DFC"/>
    <w:rsid w:val="008B6870"/>
    <w:rsid w:val="008B7BAF"/>
    <w:rsid w:val="008E17BB"/>
    <w:rsid w:val="008F0016"/>
    <w:rsid w:val="009042B2"/>
    <w:rsid w:val="00922EFE"/>
    <w:rsid w:val="00940525"/>
    <w:rsid w:val="0095159D"/>
    <w:rsid w:val="00954AD0"/>
    <w:rsid w:val="00967C6E"/>
    <w:rsid w:val="009776E4"/>
    <w:rsid w:val="0099195E"/>
    <w:rsid w:val="009B57A5"/>
    <w:rsid w:val="009C4503"/>
    <w:rsid w:val="009D6818"/>
    <w:rsid w:val="00A2155A"/>
    <w:rsid w:val="00A25AE7"/>
    <w:rsid w:val="00A335C5"/>
    <w:rsid w:val="00A3605B"/>
    <w:rsid w:val="00A44D0B"/>
    <w:rsid w:val="00A472BC"/>
    <w:rsid w:val="00A52361"/>
    <w:rsid w:val="00A66556"/>
    <w:rsid w:val="00A97F67"/>
    <w:rsid w:val="00AB4D39"/>
    <w:rsid w:val="00AC0A51"/>
    <w:rsid w:val="00AF550B"/>
    <w:rsid w:val="00B069FF"/>
    <w:rsid w:val="00B06C39"/>
    <w:rsid w:val="00B43707"/>
    <w:rsid w:val="00B4545D"/>
    <w:rsid w:val="00B710BB"/>
    <w:rsid w:val="00B87022"/>
    <w:rsid w:val="00B96C65"/>
    <w:rsid w:val="00BA5799"/>
    <w:rsid w:val="00BA691B"/>
    <w:rsid w:val="00BB20F5"/>
    <w:rsid w:val="00BC2EDC"/>
    <w:rsid w:val="00BC60BE"/>
    <w:rsid w:val="00BD1672"/>
    <w:rsid w:val="00BD57E1"/>
    <w:rsid w:val="00C172B7"/>
    <w:rsid w:val="00C3235D"/>
    <w:rsid w:val="00C47BA9"/>
    <w:rsid w:val="00C608DA"/>
    <w:rsid w:val="00C62C2E"/>
    <w:rsid w:val="00C700D5"/>
    <w:rsid w:val="00C844EB"/>
    <w:rsid w:val="00C84E2B"/>
    <w:rsid w:val="00C877A3"/>
    <w:rsid w:val="00C87B62"/>
    <w:rsid w:val="00C87F74"/>
    <w:rsid w:val="00C95B6B"/>
    <w:rsid w:val="00C97082"/>
    <w:rsid w:val="00CB388E"/>
    <w:rsid w:val="00CD0B52"/>
    <w:rsid w:val="00CF21FE"/>
    <w:rsid w:val="00CF401E"/>
    <w:rsid w:val="00CF5705"/>
    <w:rsid w:val="00D457C9"/>
    <w:rsid w:val="00D47BB1"/>
    <w:rsid w:val="00D708A2"/>
    <w:rsid w:val="00D83C62"/>
    <w:rsid w:val="00DA4299"/>
    <w:rsid w:val="00DA6908"/>
    <w:rsid w:val="00DB03DF"/>
    <w:rsid w:val="00DB4EF4"/>
    <w:rsid w:val="00DC2849"/>
    <w:rsid w:val="00DF53C9"/>
    <w:rsid w:val="00E24069"/>
    <w:rsid w:val="00E26050"/>
    <w:rsid w:val="00E37177"/>
    <w:rsid w:val="00E433E3"/>
    <w:rsid w:val="00E76526"/>
    <w:rsid w:val="00E839A1"/>
    <w:rsid w:val="00E86AC5"/>
    <w:rsid w:val="00E9344B"/>
    <w:rsid w:val="00EE4D4B"/>
    <w:rsid w:val="00EF7659"/>
    <w:rsid w:val="00F042C6"/>
    <w:rsid w:val="00F13C86"/>
    <w:rsid w:val="00F15AD6"/>
    <w:rsid w:val="00F4258E"/>
    <w:rsid w:val="00F475C5"/>
    <w:rsid w:val="00F72BC8"/>
    <w:rsid w:val="00FA6D07"/>
    <w:rsid w:val="00FC323F"/>
    <w:rsid w:val="00FE2D8A"/>
    <w:rsid w:val="00FF63B2"/>
    <w:rsid w:val="00FF6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F72B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2BC8"/>
    <w:rPr>
      <w:rFonts w:ascii="Tahoma" w:hAnsi="Tahoma" w:cs="Tahoma"/>
      <w:sz w:val="16"/>
      <w:szCs w:val="16"/>
    </w:rPr>
  </w:style>
  <w:style w:type="paragraph" w:styleId="Cabealho">
    <w:name w:val="header"/>
    <w:basedOn w:val="Normal"/>
    <w:link w:val="CabealhoChar"/>
    <w:uiPriority w:val="99"/>
    <w:unhideWhenUsed/>
    <w:rsid w:val="00F042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42C6"/>
  </w:style>
  <w:style w:type="paragraph" w:styleId="Rodap">
    <w:name w:val="footer"/>
    <w:basedOn w:val="Normal"/>
    <w:link w:val="RodapChar"/>
    <w:uiPriority w:val="99"/>
    <w:unhideWhenUsed/>
    <w:rsid w:val="00F042C6"/>
    <w:pPr>
      <w:tabs>
        <w:tab w:val="center" w:pos="4252"/>
        <w:tab w:val="right" w:pos="8504"/>
      </w:tabs>
      <w:spacing w:after="0" w:line="240" w:lineRule="auto"/>
    </w:pPr>
  </w:style>
  <w:style w:type="character" w:customStyle="1" w:styleId="RodapChar">
    <w:name w:val="Rodapé Char"/>
    <w:basedOn w:val="Fontepargpadro"/>
    <w:link w:val="Rodap"/>
    <w:uiPriority w:val="99"/>
    <w:rsid w:val="00F0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F72B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2BC8"/>
    <w:rPr>
      <w:rFonts w:ascii="Tahoma" w:hAnsi="Tahoma" w:cs="Tahoma"/>
      <w:sz w:val="16"/>
      <w:szCs w:val="16"/>
    </w:rPr>
  </w:style>
  <w:style w:type="paragraph" w:styleId="Cabealho">
    <w:name w:val="header"/>
    <w:basedOn w:val="Normal"/>
    <w:link w:val="CabealhoChar"/>
    <w:uiPriority w:val="99"/>
    <w:unhideWhenUsed/>
    <w:rsid w:val="00F042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42C6"/>
  </w:style>
  <w:style w:type="paragraph" w:styleId="Rodap">
    <w:name w:val="footer"/>
    <w:basedOn w:val="Normal"/>
    <w:link w:val="RodapChar"/>
    <w:uiPriority w:val="99"/>
    <w:unhideWhenUsed/>
    <w:rsid w:val="00F042C6"/>
    <w:pPr>
      <w:tabs>
        <w:tab w:val="center" w:pos="4252"/>
        <w:tab w:val="right" w:pos="8504"/>
      </w:tabs>
      <w:spacing w:after="0" w:line="240" w:lineRule="auto"/>
    </w:pPr>
  </w:style>
  <w:style w:type="character" w:customStyle="1" w:styleId="RodapChar">
    <w:name w:val="Rodapé Char"/>
    <w:basedOn w:val="Fontepargpadro"/>
    <w:link w:val="Rodap"/>
    <w:uiPriority w:val="99"/>
    <w:rsid w:val="00F0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732">
      <w:bodyDiv w:val="1"/>
      <w:marLeft w:val="0"/>
      <w:marRight w:val="0"/>
      <w:marTop w:val="0"/>
      <w:marBottom w:val="0"/>
      <w:divBdr>
        <w:top w:val="none" w:sz="0" w:space="0" w:color="auto"/>
        <w:left w:val="none" w:sz="0" w:space="0" w:color="auto"/>
        <w:bottom w:val="none" w:sz="0" w:space="0" w:color="auto"/>
        <w:right w:val="none" w:sz="0" w:space="0" w:color="auto"/>
      </w:divBdr>
    </w:div>
    <w:div w:id="1123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1342</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de Oliveira</dc:creator>
  <cp:lastModifiedBy>Karina Cardoso Lopes</cp:lastModifiedBy>
  <cp:revision>7</cp:revision>
  <cp:lastPrinted>2017-05-19T16:51:00Z</cp:lastPrinted>
  <dcterms:created xsi:type="dcterms:W3CDTF">2017-05-18T14:10:00Z</dcterms:created>
  <dcterms:modified xsi:type="dcterms:W3CDTF">2017-06-14T18:50:00Z</dcterms:modified>
</cp:coreProperties>
</file>