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81" w:rsidRDefault="005D2481" w:rsidP="005D248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5D2481" w:rsidRDefault="005D2481" w:rsidP="005D2481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D2481" w:rsidRDefault="005D2481" w:rsidP="005D2481">
      <w:pPr>
        <w:rPr>
          <w:rFonts w:cs="Arial"/>
          <w:sz w:val="20"/>
          <w:szCs w:val="20"/>
        </w:rPr>
      </w:pPr>
    </w:p>
    <w:p w:rsidR="005D2481" w:rsidRDefault="005D2481" w:rsidP="005D2481">
      <w:pPr>
        <w:pStyle w:val="Ttulo1"/>
        <w:jc w:val="center"/>
        <w:rPr>
          <w:rFonts w:cs="Arial"/>
          <w:sz w:val="20"/>
        </w:rPr>
      </w:pPr>
    </w:p>
    <w:p w:rsidR="005D2481" w:rsidRDefault="005D2481" w:rsidP="005D248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PARECER </w:t>
      </w:r>
      <w:r>
        <w:rPr>
          <w:rFonts w:cs="Arial"/>
          <w:b/>
          <w:sz w:val="20"/>
        </w:rPr>
        <w:t>Nº</w:t>
      </w:r>
      <w:r w:rsidR="00CA5C8F">
        <w:rPr>
          <w:rFonts w:cs="Arial"/>
          <w:b/>
          <w:sz w:val="20"/>
        </w:rPr>
        <w:t xml:space="preserve"> 683</w:t>
      </w:r>
      <w:r>
        <w:rPr>
          <w:rFonts w:cs="Arial"/>
          <w:b/>
          <w:sz w:val="20"/>
        </w:rPr>
        <w:t>/17.</w:t>
      </w:r>
      <w:r>
        <w:rPr>
          <w:rFonts w:cs="Arial"/>
          <w:sz w:val="20"/>
        </w:rPr>
        <w:t xml:space="preserve">                                                     </w:t>
      </w:r>
      <w:r>
        <w:rPr>
          <w:rFonts w:cs="Arial"/>
          <w:b/>
          <w:sz w:val="20"/>
          <w:szCs w:val="20"/>
        </w:rPr>
        <w:t xml:space="preserve">PROCESSO Nº </w:t>
      </w:r>
      <w:r w:rsidR="00FC7F88">
        <w:rPr>
          <w:rFonts w:cs="Arial"/>
          <w:b/>
          <w:sz w:val="20"/>
          <w:szCs w:val="20"/>
        </w:rPr>
        <w:t>1819</w:t>
      </w:r>
      <w:r>
        <w:rPr>
          <w:rFonts w:cs="Arial"/>
          <w:b/>
          <w:sz w:val="20"/>
          <w:szCs w:val="20"/>
        </w:rPr>
        <w:t>/17.</w:t>
      </w:r>
    </w:p>
    <w:p w:rsidR="005D2481" w:rsidRDefault="005D2481" w:rsidP="005D2481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PLL Nº 2</w:t>
      </w:r>
      <w:r w:rsidR="00FC7F88">
        <w:rPr>
          <w:rFonts w:cs="Arial"/>
          <w:b/>
          <w:sz w:val="20"/>
          <w:szCs w:val="20"/>
        </w:rPr>
        <w:t>11</w:t>
      </w:r>
      <w:r>
        <w:rPr>
          <w:rFonts w:cs="Arial"/>
          <w:b/>
          <w:sz w:val="20"/>
          <w:szCs w:val="20"/>
        </w:rPr>
        <w:t>/17.</w:t>
      </w:r>
    </w:p>
    <w:p w:rsidR="005D2481" w:rsidRDefault="005D2481" w:rsidP="005D2481">
      <w:pPr>
        <w:pStyle w:val="Ttulo1"/>
        <w:rPr>
          <w:rFonts w:cs="Arial"/>
          <w:sz w:val="20"/>
        </w:rPr>
      </w:pPr>
    </w:p>
    <w:p w:rsidR="00276F8B" w:rsidRDefault="00276F8B" w:rsidP="005D248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</w:t>
      </w:r>
      <w:r w:rsidR="009C3B90">
        <w:rPr>
          <w:sz w:val="20"/>
          <w:szCs w:val="20"/>
        </w:rPr>
        <w:t xml:space="preserve">institui a </w:t>
      </w:r>
      <w:r w:rsidR="00640E6D">
        <w:rPr>
          <w:sz w:val="20"/>
          <w:szCs w:val="20"/>
        </w:rPr>
        <w:t>Política Municipal</w:t>
      </w:r>
      <w:r w:rsidR="009C3B90">
        <w:rPr>
          <w:sz w:val="20"/>
          <w:szCs w:val="20"/>
        </w:rPr>
        <w:t xml:space="preserve"> de Defesa e de Promoção da </w:t>
      </w:r>
      <w:r w:rsidR="00640E6D">
        <w:rPr>
          <w:sz w:val="20"/>
          <w:szCs w:val="20"/>
        </w:rPr>
        <w:t>Cidadania</w:t>
      </w:r>
      <w:r w:rsidR="009C3B90">
        <w:rPr>
          <w:sz w:val="20"/>
          <w:szCs w:val="20"/>
        </w:rPr>
        <w:t xml:space="preserve"> e dos Direitos de LGBTS</w:t>
      </w:r>
      <w:r>
        <w:rPr>
          <w:sz w:val="20"/>
          <w:szCs w:val="20"/>
        </w:rPr>
        <w:t>.</w:t>
      </w:r>
    </w:p>
    <w:p w:rsidR="000B4198" w:rsidRDefault="00276F8B" w:rsidP="005D2481">
      <w:pPr>
        <w:jc w:val="both"/>
        <w:rPr>
          <w:rFonts w:cs="Arial"/>
          <w:sz w:val="20"/>
          <w:szCs w:val="20"/>
        </w:rPr>
      </w:pPr>
      <w:r>
        <w:rPr>
          <w:sz w:val="20"/>
        </w:rPr>
        <w:tab/>
      </w:r>
      <w:r w:rsidR="000B4198">
        <w:rPr>
          <w:rFonts w:cs="Arial"/>
          <w:sz w:val="20"/>
          <w:szCs w:val="20"/>
        </w:rPr>
        <w:t>Consoante dispõe a Carta Magna, é da competência dos Municípios auto organizar e prestar seus serviços, e legislar sobre matérias de interesse local (artigo 23, inciso X, e artigo 30, inciso I).</w:t>
      </w:r>
    </w:p>
    <w:p w:rsidR="000B4198" w:rsidRDefault="000B4198" w:rsidP="005D2481">
      <w:pPr>
        <w:pStyle w:val="Corpodetexto2"/>
        <w:spacing w:after="0" w:line="240" w:lineRule="auto"/>
        <w:jc w:val="both"/>
        <w:rPr>
          <w:sz w:val="20"/>
          <w:szCs w:val="20"/>
        </w:rPr>
      </w:pPr>
      <w:r>
        <w:rPr>
          <w:sz w:val="20"/>
        </w:rPr>
        <w:tab/>
        <w:t>A Lei Orgânica, por sua vez, declara ser da competência do Município prover tudo quando concerne ao interesse local, visando o pleno desenvolvimento de suas funções sociais, e estatui que deve promover o direito à cidadania e a educação (arts. 9º, inciso II e 147).</w:t>
      </w:r>
    </w:p>
    <w:p w:rsidR="000B4198" w:rsidRDefault="000B4198" w:rsidP="005D248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A matéria objeto da proposição se insere no âmbito de competência municipal, inexistindo óbice jurídico à tramitação, sob tal enfoque.</w:t>
      </w:r>
    </w:p>
    <w:p w:rsidR="00276F8B" w:rsidRPr="000B4198" w:rsidRDefault="000B4198" w:rsidP="005D2481">
      <w:pPr>
        <w:pStyle w:val="Ttulo2"/>
        <w:rPr>
          <w:vanish/>
          <w:sz w:val="20"/>
          <w:specVanish/>
        </w:rPr>
      </w:pPr>
      <w:r>
        <w:rPr>
          <w:sz w:val="20"/>
        </w:rPr>
        <w:tab/>
        <w:t>Ressalvo, contudo, que: a) os conteúdos normativos d</w:t>
      </w:r>
      <w:r w:rsidR="00D4025F">
        <w:rPr>
          <w:sz w:val="20"/>
        </w:rPr>
        <w:t>e seu</w:t>
      </w:r>
      <w:r>
        <w:rPr>
          <w:sz w:val="20"/>
        </w:rPr>
        <w:t>s artigos 7</w:t>
      </w:r>
      <w:r w:rsidR="00640E6D">
        <w:rPr>
          <w:sz w:val="20"/>
        </w:rPr>
        <w:t>º, 9</w:t>
      </w:r>
      <w:r>
        <w:rPr>
          <w:sz w:val="20"/>
        </w:rPr>
        <w:t xml:space="preserve">º, 13, </w:t>
      </w:r>
      <w:r w:rsidR="00FC7F88">
        <w:rPr>
          <w:sz w:val="20"/>
        </w:rPr>
        <w:t xml:space="preserve">14, </w:t>
      </w:r>
      <w:r>
        <w:rPr>
          <w:sz w:val="20"/>
        </w:rPr>
        <w:t>16, 17, inciso IV e §§ 2º</w:t>
      </w:r>
    </w:p>
    <w:p w:rsidR="000B4198" w:rsidRDefault="000B4198" w:rsidP="005D2481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, 4º e 5º, 18 e 19, porque consubstanciam interferência na gestão municipal, com a devida vênia, incidem em violação aos preceitos do artigo 94, incisos IV e XII, da Lei Orgânica; b) o  artigo 4º, inciso III, letra “h”,</w:t>
      </w:r>
      <w:r w:rsidR="00D4025F">
        <w:rPr>
          <w:rFonts w:cs="Arial"/>
          <w:sz w:val="20"/>
          <w:szCs w:val="20"/>
        </w:rPr>
        <w:t xml:space="preserve"> da mesma, </w:t>
      </w:r>
      <w:bookmarkStart w:id="0" w:name="_GoBack"/>
      <w:bookmarkEnd w:id="0"/>
      <w:r>
        <w:rPr>
          <w:rFonts w:cs="Arial"/>
          <w:sz w:val="20"/>
          <w:szCs w:val="20"/>
        </w:rPr>
        <w:t xml:space="preserve">com a devida vênia, regula matéria </w:t>
      </w:r>
      <w:r w:rsidR="00D4025F">
        <w:rPr>
          <w:rFonts w:cs="Arial"/>
          <w:sz w:val="20"/>
          <w:szCs w:val="20"/>
        </w:rPr>
        <w:t>atribuída à</w:t>
      </w:r>
      <w:r>
        <w:rPr>
          <w:rFonts w:cs="Arial"/>
          <w:sz w:val="20"/>
          <w:szCs w:val="20"/>
        </w:rPr>
        <w:t xml:space="preserve"> da União e Estados</w:t>
      </w:r>
      <w:r w:rsidR="00D4025F">
        <w:rPr>
          <w:rFonts w:cs="Arial"/>
          <w:sz w:val="20"/>
          <w:szCs w:val="20"/>
        </w:rPr>
        <w:t>, extrapolando do âmbito de competência municipal e afrontando o disposto no artigo 24, inciso XII, e 30, inciso I, da Constituição da República</w:t>
      </w:r>
      <w:r w:rsidR="00FC7F88">
        <w:rPr>
          <w:rFonts w:cs="Arial"/>
          <w:sz w:val="20"/>
          <w:szCs w:val="20"/>
        </w:rPr>
        <w:t>; as normas do § único de seu artigo 8º e de seu artigo 15 dispõem sobre matéria afeta a direito civil, de competência privativa da União, com malferimento aos preceitos dos artigos 22, inciso I, e 30 inciso I, da Carta Magna</w:t>
      </w:r>
      <w:r w:rsidR="00D4025F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 </w:t>
      </w:r>
      <w:r w:rsidR="00276F8B">
        <w:rPr>
          <w:rFonts w:cs="Arial"/>
          <w:sz w:val="20"/>
          <w:szCs w:val="20"/>
        </w:rPr>
        <w:tab/>
      </w:r>
    </w:p>
    <w:p w:rsidR="00276F8B" w:rsidRDefault="00276F8B" w:rsidP="00D4025F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276F8B" w:rsidRDefault="00276F8B" w:rsidP="00276F8B">
      <w:pPr>
        <w:pStyle w:val="Corpodetexto"/>
        <w:ind w:firstLine="708"/>
        <w:rPr>
          <w:rFonts w:cs="Arial"/>
          <w:i/>
          <w:sz w:val="20"/>
        </w:rPr>
      </w:pPr>
    </w:p>
    <w:p w:rsidR="00276F8B" w:rsidRDefault="00276F8B" w:rsidP="00276F8B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276F8B" w:rsidRDefault="00276F8B" w:rsidP="00276F8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D4025F">
        <w:rPr>
          <w:rFonts w:cs="Arial"/>
          <w:sz w:val="20"/>
        </w:rPr>
        <w:t>25</w:t>
      </w:r>
      <w:r>
        <w:rPr>
          <w:rFonts w:cs="Arial"/>
          <w:sz w:val="20"/>
        </w:rPr>
        <w:t xml:space="preserve"> de </w:t>
      </w:r>
      <w:r w:rsidR="00D4025F">
        <w:rPr>
          <w:rFonts w:cs="Arial"/>
          <w:sz w:val="20"/>
        </w:rPr>
        <w:t>outubro</w:t>
      </w:r>
      <w:r>
        <w:rPr>
          <w:rFonts w:cs="Arial"/>
          <w:sz w:val="20"/>
        </w:rPr>
        <w:t xml:space="preserve"> de 2.01</w:t>
      </w:r>
      <w:r w:rsidR="00D4025F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276F8B" w:rsidRDefault="00276F8B" w:rsidP="00276F8B">
      <w:pPr>
        <w:pStyle w:val="Corpodetexto"/>
        <w:ind w:firstLine="1418"/>
        <w:rPr>
          <w:rFonts w:cs="Arial"/>
          <w:sz w:val="20"/>
        </w:rPr>
      </w:pPr>
    </w:p>
    <w:p w:rsidR="00276F8B" w:rsidRDefault="00276F8B" w:rsidP="00276F8B">
      <w:pPr>
        <w:pStyle w:val="Corpodetexto"/>
        <w:ind w:firstLine="1418"/>
        <w:rPr>
          <w:i/>
          <w:sz w:val="20"/>
        </w:rPr>
      </w:pPr>
    </w:p>
    <w:p w:rsidR="00276F8B" w:rsidRDefault="00276F8B" w:rsidP="00276F8B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276F8B" w:rsidRDefault="00276F8B" w:rsidP="00276F8B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276F8B" w:rsidRDefault="00276F8B" w:rsidP="00276F8B">
      <w:pPr>
        <w:jc w:val="both"/>
      </w:pPr>
      <w:r>
        <w:tab/>
      </w:r>
    </w:p>
    <w:p w:rsidR="00276F8B" w:rsidRDefault="00276F8B" w:rsidP="00276F8B"/>
    <w:p w:rsidR="00276F8B" w:rsidRDefault="00276F8B" w:rsidP="00276F8B">
      <w:pPr>
        <w:ind w:firstLine="708"/>
        <w:jc w:val="both"/>
        <w:rPr>
          <w:sz w:val="20"/>
          <w:szCs w:val="20"/>
        </w:rPr>
      </w:pPr>
    </w:p>
    <w:p w:rsidR="00083805" w:rsidRDefault="000E110A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8B"/>
    <w:rsid w:val="000B4198"/>
    <w:rsid w:val="000E110A"/>
    <w:rsid w:val="00134B5B"/>
    <w:rsid w:val="00276F8B"/>
    <w:rsid w:val="005A31E7"/>
    <w:rsid w:val="005D2481"/>
    <w:rsid w:val="00640E6D"/>
    <w:rsid w:val="006438AB"/>
    <w:rsid w:val="0078418F"/>
    <w:rsid w:val="009C3B90"/>
    <w:rsid w:val="00AD37E5"/>
    <w:rsid w:val="00CA5C8F"/>
    <w:rsid w:val="00D4025F"/>
    <w:rsid w:val="00F06EF0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7705-D460-4E2C-B629-F516A7D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F8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D24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276F8B"/>
    <w:pPr>
      <w:keepNext/>
      <w:jc w:val="both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6F8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76F8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76F8B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76F8B"/>
    <w:pPr>
      <w:ind w:firstLine="1416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76F8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B419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419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D24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semiHidden/>
    <w:unhideWhenUsed/>
    <w:rsid w:val="005D2481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D248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10</cp:revision>
  <cp:lastPrinted>2017-10-25T16:02:00Z</cp:lastPrinted>
  <dcterms:created xsi:type="dcterms:W3CDTF">2017-10-25T15:23:00Z</dcterms:created>
  <dcterms:modified xsi:type="dcterms:W3CDTF">2017-10-25T16:02:00Z</dcterms:modified>
</cp:coreProperties>
</file>