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C9" w:rsidRDefault="00DC64C9" w:rsidP="00DC64C9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DC64C9" w:rsidRDefault="00DC64C9" w:rsidP="00DC64C9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DC64C9" w:rsidRDefault="00DC64C9" w:rsidP="00DC64C9">
      <w:pPr>
        <w:ind w:left="4536"/>
        <w:rPr>
          <w:rFonts w:ascii="Arial" w:hAnsi="Arial"/>
          <w:b/>
          <w:sz w:val="20"/>
          <w:szCs w:val="20"/>
        </w:rPr>
      </w:pPr>
    </w:p>
    <w:p w:rsidR="00DC64C9" w:rsidRDefault="00DC64C9" w:rsidP="00DC64C9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BF709B">
        <w:rPr>
          <w:rFonts w:ascii="Arial" w:hAnsi="Arial"/>
          <w:sz w:val="20"/>
        </w:rPr>
        <w:t>611</w:t>
      </w:r>
      <w:r>
        <w:rPr>
          <w:rFonts w:ascii="Arial" w:hAnsi="Arial"/>
          <w:sz w:val="20"/>
        </w:rPr>
        <w:t>/17.</w:t>
      </w:r>
    </w:p>
    <w:p w:rsidR="00DC64C9" w:rsidRDefault="00DC64C9" w:rsidP="00DC64C9">
      <w:pPr>
        <w:ind w:left="4536"/>
        <w:rPr>
          <w:rFonts w:ascii="Arial" w:hAnsi="Arial"/>
          <w:b/>
          <w:sz w:val="20"/>
          <w:szCs w:val="20"/>
        </w:rPr>
      </w:pPr>
    </w:p>
    <w:p w:rsidR="00DC64C9" w:rsidRDefault="00DC64C9" w:rsidP="00DC64C9">
      <w:pPr>
        <w:ind w:left="3948" w:firstLine="3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PROCESSO Nº 2118/17.</w:t>
      </w:r>
    </w:p>
    <w:p w:rsidR="00DC64C9" w:rsidRDefault="00DC64C9" w:rsidP="00DC64C9">
      <w:pPr>
        <w:ind w:left="3648" w:firstLine="6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PLL Nº 231/17.</w:t>
      </w:r>
    </w:p>
    <w:p w:rsidR="00DC64C9" w:rsidRDefault="00DC64C9" w:rsidP="00DC64C9">
      <w:pPr>
        <w:pStyle w:val="Cabealho"/>
        <w:jc w:val="center"/>
        <w:rPr>
          <w:rFonts w:ascii="Arial" w:hAnsi="Arial"/>
          <w:b/>
          <w:sz w:val="20"/>
        </w:rPr>
      </w:pPr>
    </w:p>
    <w:p w:rsidR="00DC64C9" w:rsidRDefault="00DC64C9" w:rsidP="00DC64C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exame desta Procuradoria, para parecer prévio, o Projeto de Lei do Legislativo em epígrafe, que determina a instalação de dispositivo que altere o letreiro digital luminoso externo que indica linhas e </w:t>
      </w:r>
      <w:r w:rsidR="00B37922">
        <w:rPr>
          <w:rFonts w:ascii="Arial" w:hAnsi="Arial"/>
          <w:sz w:val="20"/>
          <w:szCs w:val="20"/>
        </w:rPr>
        <w:t>bairros nos</w:t>
      </w:r>
      <w:r>
        <w:rPr>
          <w:rFonts w:ascii="Arial" w:hAnsi="Arial"/>
          <w:sz w:val="20"/>
          <w:szCs w:val="20"/>
        </w:rPr>
        <w:t xml:space="preserve"> veículos do serviço de transporte coletivo e seletivo municipal para indicar assalto quando de sua ocorrência e revoga a Lei nº 7.340/93.</w:t>
      </w:r>
    </w:p>
    <w:p w:rsidR="00DC64C9" w:rsidRDefault="00DC64C9" w:rsidP="00DC64C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DC64C9" w:rsidRDefault="00DC64C9" w:rsidP="00DC64C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declara ser de competência do Município de Porto Alegre prover tudo quanto concerne ao interesse local, organizar e dispor sobre serviços públicos de interesse local e fixar tarifas e preços públicos (artigos 9º, inciso II, e 8º, incisos II e III).</w:t>
      </w:r>
    </w:p>
    <w:p w:rsidR="00DC64C9" w:rsidRDefault="00DC64C9" w:rsidP="00DC64C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Estatui, ainda, que o transporte remunerado de passageiros é serviço público sujeito ao controle e fiscalização dos órgãos próprios do Município, e que constitui obrigação deste promover o direito à segurança (arts. 143 e 147).</w:t>
      </w:r>
    </w:p>
    <w:p w:rsidR="00DC64C9" w:rsidRDefault="00DC64C9" w:rsidP="00DC64C9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Lei nº 8.133/98, ao dispor sobre o Sistema de Transporte e Circulação no Município de Porto Alegre, estatui que o serviço de transporte de passageiros é de caráter público e essencial, a ser prestado com observância de condições de regularidade, continuidade, eficiência e bom atendimento (art. 12).</w:t>
      </w:r>
    </w:p>
    <w:p w:rsidR="00DC64C9" w:rsidRDefault="00DC64C9" w:rsidP="00DC64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constituírem atribuições do Poder Público Municipal, entre outras, regulamentar a prestação de tal serviço, zelar pela sua boa qualidade (art. 1º. § único, e incisos I, VII e X).</w:t>
      </w:r>
    </w:p>
    <w:p w:rsidR="00DC64C9" w:rsidRDefault="00DC64C9" w:rsidP="00DC64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regulada pelo projeto de lei se insere no âmbito de competência do Município, inexistindo óbice jurídico à tramitação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sob tal enfoque.</w:t>
      </w:r>
    </w:p>
    <w:p w:rsidR="00DC64C9" w:rsidRDefault="00DC64C9" w:rsidP="00DC64C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as relações jurídicas entre concessionárias e a Administração são reguladas pelo respectivo contrato de concessão. A obrigação onerosa atribuída às concessionárias de forma unilateral pela proposição, com a devida vênia, exigem, para validade jurídica, previsão nos respectivos ajustes. </w:t>
      </w:r>
    </w:p>
    <w:p w:rsidR="00DC64C9" w:rsidRDefault="00DC64C9" w:rsidP="00DC64C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C64C9" w:rsidRDefault="00DC64C9" w:rsidP="00DC64C9">
      <w:pPr>
        <w:pStyle w:val="Corpodetexto"/>
        <w:ind w:firstLine="708"/>
        <w:rPr>
          <w:rFonts w:cs="Arial"/>
          <w:sz w:val="20"/>
        </w:rPr>
      </w:pPr>
    </w:p>
    <w:p w:rsidR="00DC64C9" w:rsidRDefault="00DC64C9" w:rsidP="00DC64C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C64C9" w:rsidRDefault="00DC64C9" w:rsidP="00DC64C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outubro de 2.017.</w:t>
      </w:r>
    </w:p>
    <w:p w:rsidR="00DC64C9" w:rsidRDefault="00DC64C9" w:rsidP="00DC64C9">
      <w:pPr>
        <w:pStyle w:val="Corpodetexto"/>
        <w:ind w:firstLine="1418"/>
        <w:rPr>
          <w:rFonts w:cs="Arial"/>
          <w:sz w:val="20"/>
        </w:rPr>
      </w:pPr>
    </w:p>
    <w:p w:rsidR="00DC64C9" w:rsidRDefault="00DC64C9" w:rsidP="00DC64C9">
      <w:pPr>
        <w:pStyle w:val="Corpodetexto"/>
        <w:ind w:firstLine="1418"/>
        <w:rPr>
          <w:rFonts w:cs="Arial"/>
          <w:sz w:val="20"/>
        </w:rPr>
      </w:pPr>
    </w:p>
    <w:p w:rsidR="00DC64C9" w:rsidRDefault="00DC64C9" w:rsidP="00DC64C9">
      <w:pPr>
        <w:pStyle w:val="Corpodetexto"/>
        <w:ind w:firstLine="1418"/>
        <w:rPr>
          <w:rFonts w:cs="Arial"/>
          <w:sz w:val="20"/>
        </w:rPr>
      </w:pPr>
    </w:p>
    <w:p w:rsidR="00DC64C9" w:rsidRDefault="00DC64C9" w:rsidP="00DC64C9">
      <w:pPr>
        <w:pStyle w:val="Corpodetexto"/>
        <w:ind w:firstLine="1418"/>
        <w:rPr>
          <w:rFonts w:cs="Arial"/>
          <w:sz w:val="20"/>
        </w:rPr>
      </w:pPr>
    </w:p>
    <w:p w:rsidR="00DC64C9" w:rsidRDefault="00DC64C9" w:rsidP="00DC64C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C64C9" w:rsidRDefault="00DC64C9" w:rsidP="00DC64C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C64C9" w:rsidRDefault="00DC64C9" w:rsidP="00DC64C9"/>
    <w:p w:rsidR="00DC64C9" w:rsidRDefault="00DC64C9" w:rsidP="00DC64C9">
      <w:pPr>
        <w:jc w:val="both"/>
      </w:pPr>
    </w:p>
    <w:p w:rsidR="00DC64C9" w:rsidRDefault="00DC64C9" w:rsidP="00DC64C9"/>
    <w:p w:rsidR="00083805" w:rsidRDefault="00BF709B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9"/>
    <w:rsid w:val="00134B5B"/>
    <w:rsid w:val="005A31E7"/>
    <w:rsid w:val="006438AB"/>
    <w:rsid w:val="00AD37E5"/>
    <w:rsid w:val="00B37922"/>
    <w:rsid w:val="00BF709B"/>
    <w:rsid w:val="00DC64C9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A217-D7EE-4909-9093-4D27303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64C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64C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C64C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C64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64C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64C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2017-10-30T17:49:00Z</dcterms:created>
  <dcterms:modified xsi:type="dcterms:W3CDTF">2017-10-31T11:50:00Z</dcterms:modified>
</cp:coreProperties>
</file>