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9BE" w:rsidRPr="00D309BE" w:rsidRDefault="00D309BE" w:rsidP="00D309BE">
      <w:pPr>
        <w:pStyle w:val="Cabealho"/>
        <w:jc w:val="center"/>
        <w:rPr>
          <w:rFonts w:ascii="Arial" w:hAnsi="Arial" w:cs="Arial"/>
          <w:b/>
          <w:sz w:val="20"/>
        </w:rPr>
      </w:pPr>
      <w:r w:rsidRPr="00D309BE">
        <w:rPr>
          <w:rFonts w:ascii="Arial" w:hAnsi="Arial" w:cs="Arial"/>
          <w:b/>
          <w:sz w:val="20"/>
        </w:rPr>
        <w:t>CÂMARA MUNICIPAL DE PORTO ALEGRE</w:t>
      </w:r>
    </w:p>
    <w:p w:rsidR="00D309BE" w:rsidRPr="00D309BE" w:rsidRDefault="00D309BE" w:rsidP="00D309BE">
      <w:pPr>
        <w:pStyle w:val="Cabealho"/>
        <w:jc w:val="center"/>
        <w:rPr>
          <w:rFonts w:ascii="Arial" w:hAnsi="Arial" w:cs="Arial"/>
          <w:sz w:val="20"/>
        </w:rPr>
      </w:pPr>
      <w:r w:rsidRPr="00D309BE">
        <w:rPr>
          <w:rFonts w:ascii="Arial" w:hAnsi="Arial" w:cs="Arial"/>
          <w:b/>
          <w:sz w:val="20"/>
        </w:rPr>
        <w:t>PROCURADORIA</w:t>
      </w:r>
    </w:p>
    <w:p w:rsidR="00D309BE" w:rsidRPr="00D309BE" w:rsidRDefault="00D309BE" w:rsidP="00D309BE">
      <w:pPr>
        <w:ind w:left="4536"/>
        <w:jc w:val="both"/>
        <w:rPr>
          <w:rFonts w:ascii="Arial" w:hAnsi="Arial" w:cs="Arial"/>
          <w:sz w:val="20"/>
          <w:szCs w:val="20"/>
        </w:rPr>
      </w:pPr>
    </w:p>
    <w:p w:rsidR="00D309BE" w:rsidRPr="00D309BE" w:rsidRDefault="00552136" w:rsidP="00D309BE">
      <w:pPr>
        <w:pStyle w:val="Ttulo1"/>
        <w:rPr>
          <w:rFonts w:ascii="Arial" w:hAnsi="Arial" w:cs="Arial"/>
          <w:sz w:val="20"/>
        </w:rPr>
      </w:pPr>
      <w:r w:rsidRPr="00D309BE">
        <w:rPr>
          <w:rFonts w:ascii="Arial" w:hAnsi="Arial" w:cs="Arial"/>
          <w:sz w:val="20"/>
        </w:rPr>
        <w:t>PARECER Nº</w:t>
      </w:r>
      <w:r w:rsidR="00297BC2">
        <w:rPr>
          <w:rFonts w:ascii="Arial" w:hAnsi="Arial" w:cs="Arial"/>
          <w:sz w:val="20"/>
        </w:rPr>
        <w:t xml:space="preserve"> </w:t>
      </w:r>
      <w:r w:rsidR="0062002A">
        <w:rPr>
          <w:rFonts w:ascii="Arial" w:hAnsi="Arial" w:cs="Arial"/>
          <w:sz w:val="20"/>
        </w:rPr>
        <w:t>695</w:t>
      </w:r>
      <w:bookmarkStart w:id="0" w:name="_GoBack"/>
      <w:bookmarkEnd w:id="0"/>
      <w:r w:rsidR="00D309BE">
        <w:rPr>
          <w:rFonts w:ascii="Arial" w:hAnsi="Arial" w:cs="Arial"/>
          <w:sz w:val="20"/>
        </w:rPr>
        <w:t>/17.</w:t>
      </w:r>
    </w:p>
    <w:p w:rsidR="00D309BE" w:rsidRPr="00D309BE" w:rsidRDefault="00D309BE" w:rsidP="00D309BE">
      <w:pPr>
        <w:ind w:left="4536"/>
        <w:jc w:val="both"/>
        <w:rPr>
          <w:rFonts w:ascii="Arial" w:hAnsi="Arial" w:cs="Arial"/>
          <w:sz w:val="20"/>
          <w:szCs w:val="20"/>
        </w:rPr>
      </w:pPr>
    </w:p>
    <w:p w:rsidR="00D309BE" w:rsidRPr="00D309BE" w:rsidRDefault="00D309BE" w:rsidP="00D309BE">
      <w:pPr>
        <w:ind w:left="4536"/>
        <w:jc w:val="both"/>
        <w:rPr>
          <w:rFonts w:ascii="Arial" w:hAnsi="Arial" w:cs="Arial"/>
          <w:b/>
          <w:sz w:val="20"/>
          <w:szCs w:val="20"/>
        </w:rPr>
      </w:pPr>
      <w:r w:rsidRPr="00D309BE">
        <w:rPr>
          <w:rFonts w:ascii="Arial" w:hAnsi="Arial" w:cs="Arial"/>
          <w:b/>
          <w:sz w:val="20"/>
          <w:szCs w:val="20"/>
        </w:rPr>
        <w:t xml:space="preserve">            PROC</w:t>
      </w:r>
      <w:r>
        <w:rPr>
          <w:rFonts w:ascii="Arial" w:hAnsi="Arial" w:cs="Arial"/>
          <w:b/>
          <w:sz w:val="20"/>
          <w:szCs w:val="20"/>
        </w:rPr>
        <w:t>ESSO</w:t>
      </w:r>
      <w:r w:rsidRPr="00D309BE">
        <w:rPr>
          <w:rFonts w:ascii="Arial" w:hAnsi="Arial" w:cs="Arial"/>
          <w:b/>
          <w:sz w:val="20"/>
          <w:szCs w:val="20"/>
        </w:rPr>
        <w:t xml:space="preserve"> Nº </w:t>
      </w:r>
      <w:r w:rsidR="00DE164C">
        <w:rPr>
          <w:rFonts w:ascii="Arial" w:hAnsi="Arial" w:cs="Arial"/>
          <w:b/>
          <w:sz w:val="20"/>
          <w:szCs w:val="20"/>
        </w:rPr>
        <w:t>2703</w:t>
      </w:r>
      <w:r w:rsidRPr="00D309BE">
        <w:rPr>
          <w:rFonts w:ascii="Arial" w:hAnsi="Arial" w:cs="Arial"/>
          <w:b/>
          <w:sz w:val="20"/>
          <w:szCs w:val="20"/>
        </w:rPr>
        <w:t>/1</w:t>
      </w:r>
      <w:r>
        <w:rPr>
          <w:rFonts w:ascii="Arial" w:hAnsi="Arial" w:cs="Arial"/>
          <w:b/>
          <w:sz w:val="20"/>
          <w:szCs w:val="20"/>
        </w:rPr>
        <w:t>7.</w:t>
      </w:r>
    </w:p>
    <w:p w:rsidR="00D309BE" w:rsidRPr="00D309BE" w:rsidRDefault="00D309BE" w:rsidP="00D309BE">
      <w:pPr>
        <w:pStyle w:val="Ttulo2"/>
        <w:rPr>
          <w:sz w:val="20"/>
          <w:szCs w:val="20"/>
        </w:rPr>
      </w:pPr>
      <w:r w:rsidRPr="00D309BE">
        <w:rPr>
          <w:sz w:val="20"/>
          <w:szCs w:val="20"/>
        </w:rPr>
        <w:t xml:space="preserve">            PLL </w:t>
      </w:r>
      <w:r>
        <w:rPr>
          <w:sz w:val="20"/>
          <w:szCs w:val="20"/>
        </w:rPr>
        <w:t>Nº</w:t>
      </w:r>
      <w:r w:rsidR="00DE164C">
        <w:rPr>
          <w:sz w:val="20"/>
          <w:szCs w:val="20"/>
        </w:rPr>
        <w:t xml:space="preserve"> 299</w:t>
      </w:r>
      <w:r w:rsidRPr="00D309BE">
        <w:rPr>
          <w:sz w:val="20"/>
          <w:szCs w:val="20"/>
        </w:rPr>
        <w:t>/1</w:t>
      </w:r>
      <w:r>
        <w:rPr>
          <w:sz w:val="20"/>
          <w:szCs w:val="20"/>
        </w:rPr>
        <w:t>7</w:t>
      </w:r>
      <w:r w:rsidRPr="00D309BE">
        <w:rPr>
          <w:sz w:val="20"/>
          <w:szCs w:val="20"/>
        </w:rPr>
        <w:t>.</w:t>
      </w:r>
    </w:p>
    <w:p w:rsidR="00D309BE" w:rsidRPr="00D309BE" w:rsidRDefault="00D309BE" w:rsidP="00D309BE">
      <w:pPr>
        <w:pStyle w:val="Cabealho"/>
        <w:ind w:hanging="4536"/>
        <w:jc w:val="center"/>
        <w:rPr>
          <w:rFonts w:ascii="Arial" w:hAnsi="Arial" w:cs="Arial"/>
          <w:b/>
          <w:sz w:val="20"/>
        </w:rPr>
      </w:pPr>
    </w:p>
    <w:p w:rsidR="00D309BE" w:rsidRDefault="00D309BE" w:rsidP="00D309BE">
      <w:pPr>
        <w:rPr>
          <w:rFonts w:ascii="Arial" w:hAnsi="Arial" w:cs="Arial"/>
        </w:rPr>
      </w:pPr>
    </w:p>
    <w:p w:rsidR="00D309BE" w:rsidRDefault="00D309BE" w:rsidP="00D309BE">
      <w:pPr>
        <w:pStyle w:val="Ttulo1"/>
        <w:rPr>
          <w:sz w:val="20"/>
        </w:rPr>
      </w:pPr>
      <w:r>
        <w:tab/>
      </w:r>
      <w:r>
        <w:tab/>
      </w:r>
    </w:p>
    <w:p w:rsidR="00D309BE" w:rsidRDefault="00D309BE" w:rsidP="00D309BE">
      <w:pPr>
        <w:pStyle w:val="Corpodetexto"/>
        <w:ind w:firstLine="1134"/>
        <w:rPr>
          <w:sz w:val="20"/>
          <w:szCs w:val="20"/>
        </w:rPr>
      </w:pPr>
      <w:r>
        <w:rPr>
          <w:sz w:val="20"/>
          <w:szCs w:val="20"/>
        </w:rPr>
        <w:t xml:space="preserve">É submetido a exame desta Procuradoria, para parecer prévio, o Projeto de Lei do Legislativo em epígrafe, que concede o Título de Cidadão Emérito de Porto Alegre </w:t>
      </w:r>
      <w:r w:rsidR="00462B60">
        <w:rPr>
          <w:sz w:val="20"/>
          <w:szCs w:val="20"/>
        </w:rPr>
        <w:t>a Getúlio Felipe Fernandes da Silva</w:t>
      </w:r>
      <w:r>
        <w:rPr>
          <w:sz w:val="20"/>
          <w:szCs w:val="20"/>
        </w:rPr>
        <w:t>.</w:t>
      </w:r>
    </w:p>
    <w:p w:rsidR="00D309BE" w:rsidRDefault="00D309BE" w:rsidP="00D309BE">
      <w:pPr>
        <w:ind w:firstLine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forma do que dispõe a Carta Magna, compete aos Municípios legislar sobre assuntos de interesse local (artigo 30, incisos I e II).</w:t>
      </w:r>
    </w:p>
    <w:p w:rsidR="00D309BE" w:rsidRDefault="00D309BE" w:rsidP="00D309BE">
      <w:pPr>
        <w:ind w:firstLine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Lei Orgânica, por sua vez, determina a competência do Município para prover tudo quanto concerne ao interesse local e para estabelecer suas leis, decretos e atos relativos aos assuntos de interesse local (artigo 9º, incisos II e III).</w:t>
      </w:r>
    </w:p>
    <w:p w:rsidR="00D309BE" w:rsidRDefault="00D309BE" w:rsidP="00D309BE">
      <w:pPr>
        <w:ind w:firstLine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Lei nº 9.659/2004 dispõe sobre a concessão do título de “CIDADÃO EMÉRITO DE PORTO ALEGRE”, a ser concedido mediante lei de iniciativa de qualquer dos poderes.</w:t>
      </w:r>
    </w:p>
    <w:p w:rsidR="00D309BE" w:rsidRDefault="00D309BE" w:rsidP="00D309BE">
      <w:pPr>
        <w:ind w:firstLine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proposição versa de matéria que se insere no âmbito de competência do Município, e estão atendidos os requisitos fixados na legislação que a regula, inexistindo óbice legal à tramitação.</w:t>
      </w:r>
    </w:p>
    <w:p w:rsidR="00D309BE" w:rsidRDefault="00D309BE" w:rsidP="00D309BE">
      <w:pPr>
        <w:ind w:firstLine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É o parecer, </w:t>
      </w:r>
      <w:r>
        <w:rPr>
          <w:rFonts w:ascii="Arial" w:hAnsi="Arial" w:cs="Arial"/>
          <w:i/>
          <w:sz w:val="20"/>
          <w:szCs w:val="20"/>
        </w:rPr>
        <w:t>sub censura</w:t>
      </w:r>
      <w:r>
        <w:rPr>
          <w:rFonts w:ascii="Arial" w:hAnsi="Arial" w:cs="Arial"/>
          <w:sz w:val="20"/>
          <w:szCs w:val="20"/>
        </w:rPr>
        <w:t>.</w:t>
      </w:r>
    </w:p>
    <w:p w:rsidR="00D309BE" w:rsidRDefault="00D309BE" w:rsidP="00D309BE">
      <w:pPr>
        <w:pStyle w:val="Corpodetexto"/>
        <w:ind w:firstLine="1134"/>
        <w:rPr>
          <w:sz w:val="20"/>
          <w:szCs w:val="20"/>
        </w:rPr>
      </w:pPr>
    </w:p>
    <w:p w:rsidR="00D309BE" w:rsidRDefault="00D309BE" w:rsidP="00D309BE">
      <w:pPr>
        <w:ind w:firstLine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Á Diretoria Legislativa para os devidos fins.</w:t>
      </w:r>
    </w:p>
    <w:p w:rsidR="00D309BE" w:rsidRDefault="00D309BE" w:rsidP="00D309BE">
      <w:pPr>
        <w:pStyle w:val="Corpodetexto"/>
        <w:ind w:firstLine="1134"/>
        <w:rPr>
          <w:sz w:val="20"/>
          <w:szCs w:val="20"/>
        </w:rPr>
      </w:pPr>
      <w:r>
        <w:rPr>
          <w:sz w:val="20"/>
          <w:szCs w:val="20"/>
        </w:rPr>
        <w:t>Em 2</w:t>
      </w:r>
      <w:r w:rsidR="003A1E14">
        <w:rPr>
          <w:sz w:val="20"/>
          <w:szCs w:val="20"/>
        </w:rPr>
        <w:t>6</w:t>
      </w:r>
      <w:r>
        <w:rPr>
          <w:sz w:val="20"/>
          <w:szCs w:val="20"/>
        </w:rPr>
        <w:t xml:space="preserve"> de o</w:t>
      </w:r>
      <w:r w:rsidR="003A1E14">
        <w:rPr>
          <w:sz w:val="20"/>
          <w:szCs w:val="20"/>
        </w:rPr>
        <w:t>utubro</w:t>
      </w:r>
      <w:r>
        <w:rPr>
          <w:sz w:val="20"/>
          <w:szCs w:val="20"/>
        </w:rPr>
        <w:t xml:space="preserve"> de</w:t>
      </w:r>
      <w:r w:rsidR="003A1E14">
        <w:rPr>
          <w:sz w:val="20"/>
          <w:szCs w:val="20"/>
        </w:rPr>
        <w:t xml:space="preserve"> 2</w:t>
      </w:r>
      <w:r>
        <w:rPr>
          <w:sz w:val="20"/>
          <w:szCs w:val="20"/>
        </w:rPr>
        <w:t>017.</w:t>
      </w:r>
    </w:p>
    <w:p w:rsidR="00D309BE" w:rsidRDefault="00D309BE" w:rsidP="00D309BE">
      <w:pPr>
        <w:pStyle w:val="Corpodetexto"/>
        <w:ind w:firstLine="1134"/>
        <w:rPr>
          <w:sz w:val="20"/>
          <w:szCs w:val="20"/>
        </w:rPr>
      </w:pPr>
    </w:p>
    <w:p w:rsidR="00D309BE" w:rsidRDefault="00D309BE" w:rsidP="00D309BE">
      <w:pPr>
        <w:pStyle w:val="Corpodetexto"/>
        <w:ind w:firstLine="1134"/>
        <w:rPr>
          <w:sz w:val="20"/>
          <w:szCs w:val="20"/>
        </w:rPr>
      </w:pPr>
    </w:p>
    <w:p w:rsidR="00D309BE" w:rsidRDefault="00D309BE" w:rsidP="00D309BE">
      <w:pPr>
        <w:pStyle w:val="Corpodetexto"/>
        <w:ind w:firstLine="1134"/>
        <w:rPr>
          <w:sz w:val="20"/>
        </w:rPr>
      </w:pPr>
    </w:p>
    <w:p w:rsidR="00D309BE" w:rsidRDefault="00D309BE" w:rsidP="00D309BE">
      <w:pPr>
        <w:ind w:firstLine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Claudio Roberto Velasquez</w:t>
      </w:r>
    </w:p>
    <w:p w:rsidR="00D309BE" w:rsidRDefault="00D309BE" w:rsidP="00D309BE">
      <w:pPr>
        <w:ind w:firstLine="113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Procurador-Geral–OAB/RS 18.594</w:t>
      </w:r>
      <w:r>
        <w:rPr>
          <w:rFonts w:ascii="Arial" w:hAnsi="Arial" w:cs="Arial"/>
          <w:sz w:val="16"/>
          <w:szCs w:val="16"/>
        </w:rPr>
        <w:tab/>
      </w:r>
    </w:p>
    <w:p w:rsidR="00D309BE" w:rsidRDefault="00D309BE" w:rsidP="00D309BE">
      <w:pPr>
        <w:pStyle w:val="Corpodetexto"/>
        <w:ind w:firstLine="1134"/>
        <w:rPr>
          <w:sz w:val="20"/>
        </w:rPr>
      </w:pPr>
    </w:p>
    <w:p w:rsidR="00D309BE" w:rsidRDefault="00D309BE" w:rsidP="00D309BE">
      <w:pPr>
        <w:ind w:firstLine="1134"/>
        <w:jc w:val="both"/>
      </w:pPr>
    </w:p>
    <w:p w:rsidR="00D309BE" w:rsidRDefault="00D309BE" w:rsidP="00D309BE"/>
    <w:p w:rsidR="00D309BE" w:rsidRDefault="00D309BE" w:rsidP="00D309BE"/>
    <w:p w:rsidR="00D309BE" w:rsidRDefault="00D309BE" w:rsidP="00D309BE"/>
    <w:p w:rsidR="00D309BE" w:rsidRDefault="00D309BE" w:rsidP="00D309BE"/>
    <w:p w:rsidR="00D309BE" w:rsidRDefault="00D309BE" w:rsidP="00D309BE"/>
    <w:p w:rsidR="00F4209E" w:rsidRDefault="0062002A"/>
    <w:sectPr w:rsidR="00F4209E" w:rsidSect="001C272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9BE"/>
    <w:rsid w:val="001C2727"/>
    <w:rsid w:val="00297BC2"/>
    <w:rsid w:val="002B34DD"/>
    <w:rsid w:val="002C571C"/>
    <w:rsid w:val="003A1E14"/>
    <w:rsid w:val="00462B60"/>
    <w:rsid w:val="00552136"/>
    <w:rsid w:val="0062002A"/>
    <w:rsid w:val="00753A44"/>
    <w:rsid w:val="00870758"/>
    <w:rsid w:val="00B73E3A"/>
    <w:rsid w:val="00D309BE"/>
    <w:rsid w:val="00DE1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A3F1D5-7CAF-493A-9898-DB6B38A9E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0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309BE"/>
    <w:pPr>
      <w:keepNext/>
      <w:outlineLvl w:val="0"/>
    </w:pPr>
    <w:rPr>
      <w:b/>
      <w:sz w:val="28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D309BE"/>
    <w:pPr>
      <w:keepNext/>
      <w:ind w:left="4536"/>
      <w:outlineLvl w:val="1"/>
    </w:pPr>
    <w:rPr>
      <w:rFonts w:ascii="Arial" w:hAnsi="Arial" w:cs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309BE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D309BE"/>
    <w:rPr>
      <w:rFonts w:ascii="Arial" w:eastAsia="Times New Roman" w:hAnsi="Arial" w:cs="Arial"/>
      <w:b/>
      <w:sz w:val="24"/>
      <w:szCs w:val="24"/>
      <w:lang w:eastAsia="pt-BR"/>
    </w:rPr>
  </w:style>
  <w:style w:type="paragraph" w:styleId="Cabealho">
    <w:name w:val="header"/>
    <w:basedOn w:val="Normal"/>
    <w:link w:val="CabealhoChar"/>
    <w:semiHidden/>
    <w:unhideWhenUsed/>
    <w:rsid w:val="00D309BE"/>
    <w:pPr>
      <w:tabs>
        <w:tab w:val="center" w:pos="4153"/>
        <w:tab w:val="right" w:pos="8306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semiHidden/>
    <w:rsid w:val="00D309B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D309BE"/>
    <w:pPr>
      <w:jc w:val="both"/>
    </w:pPr>
    <w:rPr>
      <w:rFonts w:ascii="Arial" w:hAnsi="Arial" w:cs="Arial"/>
    </w:rPr>
  </w:style>
  <w:style w:type="character" w:customStyle="1" w:styleId="CorpodetextoChar">
    <w:name w:val="Corpo de texto Char"/>
    <w:basedOn w:val="Fontepargpadro"/>
    <w:link w:val="Corpodetexto"/>
    <w:semiHidden/>
    <w:rsid w:val="00D309BE"/>
    <w:rPr>
      <w:rFonts w:ascii="Arial" w:eastAsia="Times New Roman" w:hAnsi="Arial" w:cs="Arial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3E3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3E3A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2</cp:revision>
  <cp:lastPrinted>2017-06-21T18:27:00Z</cp:lastPrinted>
  <dcterms:created xsi:type="dcterms:W3CDTF">2017-10-26T18:09:00Z</dcterms:created>
  <dcterms:modified xsi:type="dcterms:W3CDTF">2017-10-26T18:09:00Z</dcterms:modified>
</cp:coreProperties>
</file>