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E49" w:rsidRPr="00847E49" w:rsidRDefault="00847E49" w:rsidP="00BE065D">
      <w:pPr>
        <w:jc w:val="center"/>
      </w:pPr>
      <w:bookmarkStart w:id="0" w:name="_GoBack"/>
      <w:bookmarkEnd w:id="0"/>
      <w:r w:rsidRPr="00847E49">
        <w:t>EXPOSIÇÃO DE MOTIVOS</w:t>
      </w:r>
    </w:p>
    <w:p w:rsidR="00BE065D" w:rsidRPr="00FA7195" w:rsidRDefault="00BE065D" w:rsidP="00FA7195">
      <w:pPr>
        <w:autoSpaceDE w:val="0"/>
        <w:autoSpaceDN w:val="0"/>
        <w:adjustRightInd w:val="0"/>
        <w:jc w:val="center"/>
        <w:rPr>
          <w:bCs/>
          <w:color w:val="000000"/>
        </w:rPr>
      </w:pPr>
    </w:p>
    <w:p w:rsidR="00BE065D" w:rsidRPr="00FA7195" w:rsidRDefault="00BE065D" w:rsidP="00FA7195">
      <w:pPr>
        <w:autoSpaceDE w:val="0"/>
        <w:autoSpaceDN w:val="0"/>
        <w:adjustRightInd w:val="0"/>
        <w:jc w:val="center"/>
        <w:rPr>
          <w:bCs/>
          <w:color w:val="000000"/>
        </w:rPr>
      </w:pPr>
    </w:p>
    <w:p w:rsidR="00F040FB" w:rsidRPr="00B73F37" w:rsidRDefault="00F040FB" w:rsidP="00B73F37">
      <w:pPr>
        <w:spacing w:after="60"/>
        <w:ind w:firstLine="1418"/>
        <w:jc w:val="both"/>
        <w:rPr>
          <w:rFonts w:eastAsia="Calibri"/>
          <w:w w:val="102"/>
          <w:lang w:eastAsia="en-US"/>
        </w:rPr>
      </w:pPr>
      <w:r w:rsidRPr="00B73F37">
        <w:rPr>
          <w:rFonts w:eastAsia="Calibri"/>
          <w:w w:val="102"/>
          <w:lang w:eastAsia="en-US"/>
        </w:rPr>
        <w:t>Há algum tempo a sociedade passou a tomar consciência da necessidade de uma administração tributária cooperativa</w:t>
      </w:r>
      <w:r w:rsidRPr="00B73F37">
        <w:rPr>
          <w:rFonts w:eastAsia="Calibri"/>
          <w:w w:val="102"/>
          <w:vertAlign w:val="superscript"/>
          <w:lang w:eastAsia="en-US"/>
        </w:rPr>
        <w:footnoteReference w:id="1"/>
      </w:r>
      <w:r w:rsidRPr="00B73F37">
        <w:rPr>
          <w:rFonts w:eastAsia="Calibri"/>
          <w:w w:val="102"/>
          <w:lang w:eastAsia="en-US"/>
        </w:rPr>
        <w:t>. Dentre as inúmeras facetas que compõem o direito à boa administração pública, surge a transparência como uma das grandes exigências da sociedade contemporânea</w:t>
      </w:r>
      <w:r w:rsidRPr="00B73F37">
        <w:rPr>
          <w:rFonts w:eastAsia="Calibri"/>
          <w:w w:val="102"/>
          <w:vertAlign w:val="superscript"/>
          <w:lang w:eastAsia="en-US"/>
        </w:rPr>
        <w:footnoteReference w:id="2"/>
      </w:r>
      <w:r w:rsidRPr="00B73F37">
        <w:rPr>
          <w:rFonts w:eastAsia="Calibri"/>
          <w:w w:val="102"/>
          <w:lang w:eastAsia="en-US"/>
        </w:rPr>
        <w:t>. Essa se faz presente em inúmeros marcos legais instituídos nos últimos anos, que determinam exigências de transparência ativa e passiva, na forma de leis de acesso à informação e outros expedientes.</w:t>
      </w:r>
    </w:p>
    <w:p w:rsidR="00B552F5" w:rsidRPr="00F040FB" w:rsidRDefault="00B552F5" w:rsidP="00B73F37">
      <w:pPr>
        <w:spacing w:after="60"/>
        <w:ind w:firstLine="1418"/>
        <w:jc w:val="both"/>
        <w:rPr>
          <w:rFonts w:eastAsia="Calibri"/>
          <w:lang w:eastAsia="en-US"/>
        </w:rPr>
      </w:pPr>
    </w:p>
    <w:p w:rsidR="00F040FB" w:rsidRPr="00B73F37" w:rsidRDefault="00F040FB" w:rsidP="00B73F37">
      <w:pPr>
        <w:spacing w:after="60"/>
        <w:ind w:firstLine="1418"/>
        <w:jc w:val="both"/>
        <w:rPr>
          <w:rFonts w:eastAsia="Calibri"/>
          <w:w w:val="102"/>
          <w:lang w:eastAsia="en-US"/>
        </w:rPr>
      </w:pPr>
      <w:r w:rsidRPr="00B73F37">
        <w:rPr>
          <w:rFonts w:eastAsia="Calibri"/>
          <w:w w:val="102"/>
          <w:lang w:eastAsia="en-US"/>
        </w:rPr>
        <w:t>No que diz respeito às relações jurídic</w:t>
      </w:r>
      <w:r w:rsidR="00AD2641" w:rsidRPr="00B73F37">
        <w:rPr>
          <w:rFonts w:eastAsia="Calibri"/>
          <w:w w:val="102"/>
          <w:lang w:eastAsia="en-US"/>
        </w:rPr>
        <w:t>o-</w:t>
      </w:r>
      <w:r w:rsidRPr="00B73F37">
        <w:rPr>
          <w:rFonts w:eastAsia="Calibri"/>
          <w:w w:val="102"/>
          <w:lang w:eastAsia="en-US"/>
        </w:rPr>
        <w:t xml:space="preserve">tributárias, faz-se necessário ampliar os espaços de controle da cidadania em torno da cobrança dos tributos. Por essa razão, como premissa necessária para que o cidadão possa controlar os atos do </w:t>
      </w:r>
      <w:r w:rsidR="00020049" w:rsidRPr="00B73F37">
        <w:rPr>
          <w:rFonts w:eastAsia="Calibri"/>
          <w:w w:val="102"/>
          <w:lang w:eastAsia="en-US"/>
        </w:rPr>
        <w:t>P</w:t>
      </w:r>
      <w:r w:rsidRPr="00B73F37">
        <w:rPr>
          <w:rFonts w:eastAsia="Calibri"/>
          <w:w w:val="102"/>
          <w:lang w:eastAsia="en-US"/>
        </w:rPr>
        <w:t xml:space="preserve">oder </w:t>
      </w:r>
      <w:r w:rsidR="00020049" w:rsidRPr="00B73F37">
        <w:rPr>
          <w:rFonts w:eastAsia="Calibri"/>
          <w:w w:val="102"/>
          <w:lang w:eastAsia="en-US"/>
        </w:rPr>
        <w:t>P</w:t>
      </w:r>
      <w:r w:rsidRPr="00B73F37">
        <w:rPr>
          <w:rFonts w:eastAsia="Calibri"/>
          <w:w w:val="102"/>
          <w:lang w:eastAsia="en-US"/>
        </w:rPr>
        <w:t xml:space="preserve">úblico, exige-se uma administração tributária transparente. Se existe, como defende Luís Eduardo </w:t>
      </w:r>
      <w:proofErr w:type="spellStart"/>
      <w:r w:rsidRPr="00B73F37">
        <w:rPr>
          <w:rFonts w:eastAsia="Calibri"/>
          <w:w w:val="102"/>
          <w:lang w:eastAsia="en-US"/>
        </w:rPr>
        <w:t>Schoueri</w:t>
      </w:r>
      <w:proofErr w:type="spellEnd"/>
      <w:r w:rsidR="00AA63CD" w:rsidRPr="00B73F37">
        <w:rPr>
          <w:rFonts w:eastAsia="Calibri"/>
          <w:w w:val="102"/>
          <w:lang w:eastAsia="en-US"/>
        </w:rPr>
        <w:t>,</w:t>
      </w:r>
      <w:r w:rsidRPr="00B73F37">
        <w:rPr>
          <w:rFonts w:eastAsia="Calibri"/>
          <w:w w:val="102"/>
          <w:lang w:eastAsia="en-US"/>
        </w:rPr>
        <w:t xml:space="preserve"> um “direito de concordar com a tributação”, “já que se espera, na maior medida possível, a concordância daqueles que serão atingidos pela tributação”</w:t>
      </w:r>
      <w:r w:rsidRPr="00B73F37">
        <w:rPr>
          <w:rFonts w:eastAsia="Calibri"/>
          <w:w w:val="102"/>
          <w:vertAlign w:val="superscript"/>
          <w:lang w:eastAsia="en-US"/>
        </w:rPr>
        <w:footnoteReference w:id="3"/>
      </w:r>
      <w:r w:rsidRPr="00B73F37">
        <w:rPr>
          <w:rFonts w:eastAsia="Calibri"/>
          <w:w w:val="102"/>
          <w:lang w:eastAsia="en-US"/>
        </w:rPr>
        <w:t>, faz-se necessária a transparência da administração tributária, principalmente a respeito da arrecadação oriunda dessa cobrança, da forma como o valor cobrado é apurado e das formas pelas quais o cidadão</w:t>
      </w:r>
      <w:r w:rsidR="003C412E">
        <w:rPr>
          <w:rFonts w:eastAsia="Calibri"/>
          <w:w w:val="102"/>
          <w:lang w:eastAsia="en-US"/>
        </w:rPr>
        <w:t xml:space="preserve"> pode se</w:t>
      </w:r>
      <w:r w:rsidRPr="00B73F37">
        <w:rPr>
          <w:rFonts w:eastAsia="Calibri"/>
          <w:w w:val="102"/>
          <w:lang w:eastAsia="en-US"/>
        </w:rPr>
        <w:t xml:space="preserve"> defender em caso de discordância </w:t>
      </w:r>
      <w:r w:rsidR="00020049" w:rsidRPr="00B73F37">
        <w:rPr>
          <w:rFonts w:eastAsia="Calibri"/>
          <w:w w:val="102"/>
          <w:lang w:eastAsia="en-US"/>
        </w:rPr>
        <w:t>d</w:t>
      </w:r>
      <w:r w:rsidRPr="00B73F37">
        <w:rPr>
          <w:rFonts w:eastAsia="Calibri"/>
          <w:w w:val="102"/>
          <w:lang w:eastAsia="en-US"/>
        </w:rPr>
        <w:t xml:space="preserve">a cobrança do tributo. </w:t>
      </w:r>
    </w:p>
    <w:p w:rsidR="00B552F5" w:rsidRPr="00F040FB" w:rsidRDefault="00B552F5" w:rsidP="00B73F37">
      <w:pPr>
        <w:spacing w:after="60"/>
        <w:ind w:firstLine="1418"/>
        <w:jc w:val="both"/>
        <w:rPr>
          <w:rFonts w:eastAsia="Calibri"/>
          <w:lang w:eastAsia="en-US"/>
        </w:rPr>
      </w:pPr>
    </w:p>
    <w:p w:rsidR="00F040FB" w:rsidRPr="00B73F37" w:rsidRDefault="003C412E" w:rsidP="00B73F37">
      <w:pPr>
        <w:spacing w:after="60"/>
        <w:ind w:firstLine="1418"/>
        <w:jc w:val="both"/>
        <w:rPr>
          <w:rFonts w:eastAsia="Calibri"/>
          <w:w w:val="102"/>
          <w:lang w:eastAsia="en-US"/>
        </w:rPr>
      </w:pPr>
      <w:r>
        <w:rPr>
          <w:rFonts w:eastAsia="Calibri"/>
          <w:w w:val="102"/>
          <w:lang w:eastAsia="en-US"/>
        </w:rPr>
        <w:t>E</w:t>
      </w:r>
      <w:r w:rsidR="00F040FB" w:rsidRPr="00B73F37">
        <w:rPr>
          <w:rFonts w:eastAsia="Calibri"/>
          <w:w w:val="102"/>
          <w:lang w:eastAsia="en-US"/>
        </w:rPr>
        <w:t xml:space="preserve">m linhas gerais, </w:t>
      </w:r>
      <w:r>
        <w:rPr>
          <w:rFonts w:eastAsia="Calibri"/>
          <w:w w:val="102"/>
          <w:lang w:eastAsia="en-US"/>
        </w:rPr>
        <w:t xml:space="preserve">esta </w:t>
      </w:r>
      <w:r w:rsidR="00F040FB" w:rsidRPr="00B73F37">
        <w:rPr>
          <w:rFonts w:eastAsia="Calibri"/>
          <w:w w:val="102"/>
          <w:lang w:eastAsia="en-US"/>
        </w:rPr>
        <w:t xml:space="preserve">é a essência da </w:t>
      </w:r>
      <w:r w:rsidR="00020049" w:rsidRPr="00B73F37">
        <w:rPr>
          <w:rFonts w:eastAsia="Calibri"/>
          <w:w w:val="102"/>
          <w:lang w:eastAsia="en-US"/>
        </w:rPr>
        <w:t>P</w:t>
      </w:r>
      <w:r w:rsidR="00F040FB" w:rsidRPr="00B73F37">
        <w:rPr>
          <w:rFonts w:eastAsia="Calibri"/>
          <w:w w:val="102"/>
          <w:lang w:eastAsia="en-US"/>
        </w:rPr>
        <w:t>roposição ora submetida a es</w:t>
      </w:r>
      <w:r w:rsidR="00020049" w:rsidRPr="00B73F37">
        <w:rPr>
          <w:rFonts w:eastAsia="Calibri"/>
          <w:w w:val="102"/>
          <w:lang w:eastAsia="en-US"/>
        </w:rPr>
        <w:t>t</w:t>
      </w:r>
      <w:r w:rsidR="00F040FB" w:rsidRPr="00B73F37">
        <w:rPr>
          <w:rFonts w:eastAsia="Calibri"/>
          <w:w w:val="102"/>
          <w:lang w:eastAsia="en-US"/>
        </w:rPr>
        <w:t xml:space="preserve">a Casa Legislativa: criar mecanismos para que haja “transparência ativa” da administração tributária municipal. </w:t>
      </w:r>
    </w:p>
    <w:p w:rsidR="00B552F5" w:rsidRPr="00F040FB" w:rsidRDefault="00B552F5" w:rsidP="00B73F37">
      <w:pPr>
        <w:spacing w:after="60"/>
        <w:ind w:firstLine="1418"/>
        <w:jc w:val="both"/>
        <w:rPr>
          <w:rFonts w:eastAsia="Calibri"/>
          <w:lang w:eastAsia="en-US"/>
        </w:rPr>
      </w:pPr>
    </w:p>
    <w:p w:rsidR="00F040FB" w:rsidRPr="00B73F37" w:rsidRDefault="00F040FB" w:rsidP="00B73F37">
      <w:pPr>
        <w:spacing w:after="60"/>
        <w:ind w:firstLine="1418"/>
        <w:jc w:val="both"/>
        <w:rPr>
          <w:rFonts w:eastAsia="Calibri"/>
          <w:w w:val="102"/>
          <w:lang w:eastAsia="en-US"/>
        </w:rPr>
      </w:pPr>
      <w:r w:rsidRPr="00B73F37">
        <w:rPr>
          <w:rFonts w:eastAsia="Calibri"/>
          <w:w w:val="102"/>
          <w:lang w:eastAsia="en-US"/>
        </w:rPr>
        <w:t>Assim, propõe-se que sejam explicitados</w:t>
      </w:r>
      <w:r w:rsidR="00020049" w:rsidRPr="00B73F37">
        <w:rPr>
          <w:rFonts w:eastAsia="Calibri"/>
          <w:w w:val="102"/>
          <w:lang w:eastAsia="en-US"/>
        </w:rPr>
        <w:t xml:space="preserve"> – </w:t>
      </w:r>
      <w:r w:rsidRPr="00B73F37">
        <w:rPr>
          <w:rFonts w:eastAsia="Calibri"/>
          <w:w w:val="102"/>
          <w:lang w:eastAsia="en-US"/>
        </w:rPr>
        <w:t xml:space="preserve">de forma concisa na guia de arrecadação e de forma exaustiva na </w:t>
      </w:r>
      <w:r w:rsidR="00020049" w:rsidRPr="00B73F37">
        <w:rPr>
          <w:rFonts w:eastAsia="Calibri"/>
          <w:w w:val="102"/>
          <w:lang w:eastAsia="en-US"/>
        </w:rPr>
        <w:t xml:space="preserve">internet </w:t>
      </w:r>
      <w:r w:rsidRPr="00B73F37">
        <w:rPr>
          <w:rFonts w:eastAsia="Calibri"/>
          <w:w w:val="102"/>
          <w:lang w:eastAsia="en-US"/>
        </w:rPr>
        <w:t xml:space="preserve">– os valores arrecadados </w:t>
      </w:r>
      <w:r w:rsidR="00AD2641" w:rsidRPr="00B73F37">
        <w:rPr>
          <w:rFonts w:eastAsia="Calibri"/>
          <w:w w:val="102"/>
          <w:lang w:eastAsia="en-US"/>
        </w:rPr>
        <w:t xml:space="preserve">a título </w:t>
      </w:r>
      <w:r w:rsidRPr="00B73F37">
        <w:rPr>
          <w:rFonts w:eastAsia="Calibri"/>
          <w:w w:val="102"/>
          <w:lang w:eastAsia="en-US"/>
        </w:rPr>
        <w:t>de</w:t>
      </w:r>
      <w:r w:rsidR="00020049" w:rsidRPr="00B73F37">
        <w:rPr>
          <w:rFonts w:eastAsia="Calibri"/>
          <w:w w:val="102"/>
          <w:lang w:eastAsia="en-US"/>
        </w:rPr>
        <w:t xml:space="preserve"> Imposto </w:t>
      </w:r>
      <w:r w:rsidR="00AA63CD" w:rsidRPr="00B73F37">
        <w:rPr>
          <w:w w:val="102"/>
        </w:rPr>
        <w:t xml:space="preserve">Sobre a Propriedade </w:t>
      </w:r>
      <w:r w:rsidR="00020049" w:rsidRPr="00B73F37">
        <w:rPr>
          <w:rFonts w:eastAsia="Calibri"/>
          <w:w w:val="102"/>
          <w:lang w:eastAsia="en-US"/>
        </w:rPr>
        <w:t>Predial e Territorial Urban</w:t>
      </w:r>
      <w:r w:rsidR="00AA63CD" w:rsidRPr="00B73F37">
        <w:rPr>
          <w:rFonts w:eastAsia="Calibri"/>
          <w:w w:val="102"/>
          <w:lang w:eastAsia="en-US"/>
        </w:rPr>
        <w:t>a</w:t>
      </w:r>
      <w:r w:rsidR="00020049" w:rsidRPr="00B73F37">
        <w:rPr>
          <w:rFonts w:eastAsia="Calibri"/>
          <w:w w:val="102"/>
          <w:lang w:eastAsia="en-US"/>
        </w:rPr>
        <w:t xml:space="preserve"> </w:t>
      </w:r>
      <w:r w:rsidR="003C412E">
        <w:rPr>
          <w:rFonts w:eastAsia="Calibri"/>
          <w:w w:val="102"/>
          <w:lang w:eastAsia="en-US"/>
        </w:rPr>
        <w:t>(</w:t>
      </w:r>
      <w:r w:rsidR="00020049" w:rsidRPr="00B73F37">
        <w:rPr>
          <w:rFonts w:eastAsia="Calibri"/>
          <w:w w:val="102"/>
          <w:lang w:eastAsia="en-US"/>
        </w:rPr>
        <w:t>IPTU</w:t>
      </w:r>
      <w:r w:rsidR="003C412E">
        <w:rPr>
          <w:rFonts w:eastAsia="Calibri"/>
          <w:w w:val="102"/>
          <w:lang w:eastAsia="en-US"/>
        </w:rPr>
        <w:t>)</w:t>
      </w:r>
      <w:r w:rsidR="00020049" w:rsidRPr="00B73F37">
        <w:rPr>
          <w:rFonts w:eastAsia="Calibri"/>
          <w:w w:val="102"/>
          <w:lang w:eastAsia="en-US"/>
        </w:rPr>
        <w:t xml:space="preserve"> </w:t>
      </w:r>
      <w:r w:rsidRPr="00B73F37">
        <w:rPr>
          <w:rFonts w:eastAsia="Calibri"/>
          <w:w w:val="102"/>
          <w:lang w:eastAsia="en-US"/>
        </w:rPr>
        <w:t xml:space="preserve">por </w:t>
      </w:r>
      <w:r w:rsidR="00AD2641" w:rsidRPr="00B73F37">
        <w:rPr>
          <w:rFonts w:eastAsia="Calibri"/>
          <w:w w:val="102"/>
          <w:lang w:eastAsia="en-US"/>
        </w:rPr>
        <w:t>b</w:t>
      </w:r>
      <w:r w:rsidRPr="00B73F37">
        <w:rPr>
          <w:rFonts w:eastAsia="Calibri"/>
          <w:w w:val="102"/>
          <w:lang w:eastAsia="en-US"/>
        </w:rPr>
        <w:t xml:space="preserve">airro, as variáveis e os valores que compõem o cálculo total do tributo cobrado de cada contribuinte, bem como os meios legalmente previstos para a impugnação do lançamento. </w:t>
      </w:r>
    </w:p>
    <w:p w:rsidR="00B552F5" w:rsidRPr="00F040FB" w:rsidRDefault="00B552F5" w:rsidP="00B73F37">
      <w:pPr>
        <w:spacing w:after="60"/>
        <w:ind w:firstLine="1418"/>
        <w:jc w:val="both"/>
        <w:rPr>
          <w:rFonts w:eastAsia="Calibri"/>
          <w:lang w:eastAsia="en-US"/>
        </w:rPr>
      </w:pPr>
    </w:p>
    <w:p w:rsidR="00B552F5" w:rsidRPr="00B73F37" w:rsidRDefault="00F040FB" w:rsidP="00B73F37">
      <w:pPr>
        <w:spacing w:after="60"/>
        <w:ind w:firstLine="1418"/>
        <w:jc w:val="both"/>
        <w:rPr>
          <w:rFonts w:eastAsia="Calibri"/>
          <w:w w:val="102"/>
          <w:lang w:eastAsia="en-US"/>
        </w:rPr>
      </w:pPr>
      <w:r w:rsidRPr="00B73F37">
        <w:rPr>
          <w:rFonts w:eastAsia="Calibri"/>
          <w:w w:val="102"/>
          <w:lang w:eastAsia="en-US"/>
        </w:rPr>
        <w:t>É sabido que o Município de Porto Alegre tem enfrentado problemas</w:t>
      </w:r>
      <w:r w:rsidR="00566BBB" w:rsidRPr="00B73F37">
        <w:rPr>
          <w:rFonts w:eastAsia="Calibri"/>
          <w:w w:val="102"/>
          <w:lang w:eastAsia="en-US"/>
        </w:rPr>
        <w:t xml:space="preserve"> – </w:t>
      </w:r>
      <w:r w:rsidRPr="00B73F37">
        <w:rPr>
          <w:rFonts w:eastAsia="Calibri"/>
          <w:w w:val="102"/>
          <w:lang w:eastAsia="en-US"/>
        </w:rPr>
        <w:t>inclusive judiciais</w:t>
      </w:r>
      <w:r w:rsidR="00566BBB" w:rsidRPr="00B73F37">
        <w:rPr>
          <w:rFonts w:eastAsia="Calibri"/>
          <w:w w:val="102"/>
          <w:lang w:eastAsia="en-US"/>
        </w:rPr>
        <w:t xml:space="preserve"> – </w:t>
      </w:r>
      <w:r w:rsidRPr="00B73F37">
        <w:rPr>
          <w:rFonts w:eastAsia="Calibri"/>
          <w:w w:val="102"/>
          <w:lang w:eastAsia="en-US"/>
        </w:rPr>
        <w:t>envolvendo o Sistema Integrado de Administração Tributária (SIAT), o que alegadamente constitui óbice à implantação de modificações no que tange às informações prestadas no próprio documento (guia de arrecadação) expedido para fins de pagamento dos tributos municipais. Entretanto, essa situação não justifica a ausência de informações básicas que possibilitem ao cidadão compreender as bases do cálculo efetivado para se chegar ao valor final cobrado de IPTU, que podem inclusive ser disponibilizadas em documento anexo à guia de arrecadação ou no seu campo de observações.</w:t>
      </w:r>
    </w:p>
    <w:p w:rsidR="00B552F5" w:rsidRDefault="00B552F5" w:rsidP="00F040FB">
      <w:pPr>
        <w:ind w:firstLine="1418"/>
        <w:jc w:val="both"/>
        <w:rPr>
          <w:rFonts w:eastAsia="Calibri"/>
          <w:lang w:eastAsia="en-US"/>
        </w:rPr>
      </w:pPr>
    </w:p>
    <w:p w:rsidR="00B552F5" w:rsidRDefault="00B552F5" w:rsidP="00F040FB">
      <w:pPr>
        <w:ind w:firstLine="1418"/>
        <w:jc w:val="both"/>
        <w:rPr>
          <w:rFonts w:eastAsia="Calibri"/>
          <w:lang w:eastAsia="en-US"/>
        </w:rPr>
      </w:pPr>
    </w:p>
    <w:p w:rsidR="00F040FB" w:rsidRPr="00B73F37" w:rsidRDefault="00F040FB" w:rsidP="00B73F37">
      <w:pPr>
        <w:ind w:firstLine="1418"/>
        <w:jc w:val="both"/>
        <w:rPr>
          <w:rFonts w:eastAsia="Calibri"/>
          <w:w w:val="102"/>
          <w:lang w:eastAsia="en-US"/>
        </w:rPr>
      </w:pPr>
      <w:r w:rsidRPr="00B73F37">
        <w:rPr>
          <w:rFonts w:eastAsia="Calibri"/>
          <w:w w:val="102"/>
          <w:lang w:eastAsia="en-US"/>
        </w:rPr>
        <w:t>Conto com a ajuda dos pares para acolher es</w:t>
      </w:r>
      <w:r w:rsidR="00566BBB" w:rsidRPr="00B73F37">
        <w:rPr>
          <w:rFonts w:eastAsia="Calibri"/>
          <w:w w:val="102"/>
          <w:lang w:eastAsia="en-US"/>
        </w:rPr>
        <w:t>t</w:t>
      </w:r>
      <w:r w:rsidRPr="00B73F37">
        <w:rPr>
          <w:rFonts w:eastAsia="Calibri"/>
          <w:w w:val="102"/>
          <w:lang w:eastAsia="en-US"/>
        </w:rPr>
        <w:t xml:space="preserve">a </w:t>
      </w:r>
      <w:r w:rsidR="00566BBB" w:rsidRPr="00B73F37">
        <w:rPr>
          <w:rFonts w:eastAsia="Calibri"/>
          <w:w w:val="102"/>
          <w:lang w:eastAsia="en-US"/>
        </w:rPr>
        <w:t>P</w:t>
      </w:r>
      <w:r w:rsidRPr="00B73F37">
        <w:rPr>
          <w:rFonts w:eastAsia="Calibri"/>
          <w:w w:val="102"/>
          <w:lang w:eastAsia="en-US"/>
        </w:rPr>
        <w:t xml:space="preserve">roposição </w:t>
      </w:r>
      <w:r w:rsidR="00AD2641" w:rsidRPr="00B73F37">
        <w:rPr>
          <w:rFonts w:eastAsia="Calibri"/>
          <w:w w:val="102"/>
          <w:lang w:eastAsia="en-US"/>
        </w:rPr>
        <w:t>que busca</w:t>
      </w:r>
      <w:r w:rsidRPr="00B73F37">
        <w:rPr>
          <w:rFonts w:eastAsia="Calibri"/>
          <w:w w:val="102"/>
          <w:lang w:eastAsia="en-US"/>
        </w:rPr>
        <w:t xml:space="preserve"> transparência </w:t>
      </w:r>
      <w:r w:rsidR="00AD2641" w:rsidRPr="00B73F37">
        <w:rPr>
          <w:rFonts w:eastAsia="Calibri"/>
          <w:w w:val="102"/>
          <w:lang w:eastAsia="en-US"/>
        </w:rPr>
        <w:t>n</w:t>
      </w:r>
      <w:r w:rsidRPr="00B73F37">
        <w:rPr>
          <w:rFonts w:eastAsia="Calibri"/>
          <w:w w:val="102"/>
          <w:lang w:eastAsia="en-US"/>
        </w:rPr>
        <w:t xml:space="preserve">a </w:t>
      </w:r>
      <w:r w:rsidR="00B552F5">
        <w:rPr>
          <w:rFonts w:eastAsia="Calibri"/>
          <w:w w:val="102"/>
          <w:lang w:eastAsia="en-US"/>
        </w:rPr>
        <w:t>A</w:t>
      </w:r>
      <w:r w:rsidRPr="00B73F37">
        <w:rPr>
          <w:rFonts w:eastAsia="Calibri"/>
          <w:w w:val="102"/>
          <w:lang w:eastAsia="en-US"/>
        </w:rPr>
        <w:t xml:space="preserve">dministração </w:t>
      </w:r>
      <w:r w:rsidR="00B552F5">
        <w:rPr>
          <w:rFonts w:eastAsia="Calibri"/>
          <w:w w:val="102"/>
          <w:lang w:eastAsia="en-US"/>
        </w:rPr>
        <w:t>P</w:t>
      </w:r>
      <w:r w:rsidRPr="00B73F37">
        <w:rPr>
          <w:rFonts w:eastAsia="Calibri"/>
          <w:w w:val="102"/>
          <w:lang w:eastAsia="en-US"/>
        </w:rPr>
        <w:t xml:space="preserve">ública. </w:t>
      </w:r>
    </w:p>
    <w:p w:rsidR="00B552F5" w:rsidRPr="00F040FB" w:rsidRDefault="00B552F5" w:rsidP="00B73F37">
      <w:pPr>
        <w:spacing w:after="60"/>
        <w:ind w:firstLine="1418"/>
        <w:jc w:val="both"/>
        <w:rPr>
          <w:rFonts w:eastAsia="Calibri"/>
          <w:lang w:eastAsia="en-US"/>
        </w:rPr>
      </w:pPr>
    </w:p>
    <w:p w:rsidR="00504671" w:rsidRPr="00504671" w:rsidRDefault="00504671" w:rsidP="00B73F37">
      <w:pPr>
        <w:spacing w:after="60"/>
        <w:ind w:firstLine="1418"/>
        <w:jc w:val="both"/>
        <w:rPr>
          <w:rFonts w:eastAsia="Calibri"/>
          <w:lang w:eastAsia="en-US"/>
        </w:rPr>
      </w:pPr>
      <w:r w:rsidRPr="00504671">
        <w:rPr>
          <w:rFonts w:eastAsia="Calibri"/>
          <w:lang w:eastAsia="en-US"/>
        </w:rPr>
        <w:t xml:space="preserve">Sala das Sessões, </w:t>
      </w:r>
      <w:r w:rsidR="00566BBB">
        <w:rPr>
          <w:rFonts w:eastAsia="Calibri"/>
          <w:lang w:eastAsia="en-US"/>
        </w:rPr>
        <w:t>17</w:t>
      </w:r>
      <w:r w:rsidR="009140ED" w:rsidRPr="00504671">
        <w:rPr>
          <w:rFonts w:eastAsia="Calibri"/>
          <w:lang w:eastAsia="en-US"/>
        </w:rPr>
        <w:t xml:space="preserve"> </w:t>
      </w:r>
      <w:r w:rsidRPr="00504671">
        <w:rPr>
          <w:rFonts w:eastAsia="Calibri"/>
          <w:lang w:eastAsia="en-US"/>
        </w:rPr>
        <w:t xml:space="preserve">de </w:t>
      </w:r>
      <w:r w:rsidR="00566BBB">
        <w:rPr>
          <w:rFonts w:eastAsia="Calibri"/>
          <w:lang w:eastAsia="en-US"/>
        </w:rPr>
        <w:t xml:space="preserve">outubro </w:t>
      </w:r>
      <w:r w:rsidRPr="00504671">
        <w:rPr>
          <w:rFonts w:eastAsia="Calibri"/>
          <w:lang w:eastAsia="en-US"/>
        </w:rPr>
        <w:t xml:space="preserve">de </w:t>
      </w:r>
      <w:r w:rsidR="009140ED">
        <w:rPr>
          <w:rFonts w:eastAsia="Calibri"/>
          <w:lang w:eastAsia="en-US"/>
        </w:rPr>
        <w:t>2017</w:t>
      </w:r>
      <w:r w:rsidRPr="00504671">
        <w:rPr>
          <w:rFonts w:eastAsia="Calibri"/>
          <w:lang w:eastAsia="en-US"/>
        </w:rPr>
        <w:t>.</w:t>
      </w:r>
    </w:p>
    <w:p w:rsidR="00504671" w:rsidRPr="00504671" w:rsidRDefault="00504671" w:rsidP="00DA531B">
      <w:pPr>
        <w:jc w:val="center"/>
        <w:rPr>
          <w:rFonts w:eastAsia="Calibri"/>
          <w:lang w:eastAsia="en-US"/>
        </w:rPr>
      </w:pPr>
    </w:p>
    <w:p w:rsidR="00504671" w:rsidRPr="00504671" w:rsidRDefault="00504671" w:rsidP="00DA531B">
      <w:pPr>
        <w:jc w:val="center"/>
        <w:rPr>
          <w:rFonts w:eastAsia="Calibri"/>
          <w:lang w:eastAsia="en-US"/>
        </w:rPr>
      </w:pPr>
    </w:p>
    <w:p w:rsidR="00504671" w:rsidRPr="00504671" w:rsidRDefault="00504671" w:rsidP="00DA531B">
      <w:pPr>
        <w:jc w:val="center"/>
        <w:rPr>
          <w:rFonts w:eastAsia="Calibri"/>
          <w:lang w:eastAsia="en-US"/>
        </w:rPr>
      </w:pPr>
    </w:p>
    <w:p w:rsidR="00504671" w:rsidRDefault="00504671" w:rsidP="00DA531B">
      <w:pPr>
        <w:jc w:val="center"/>
        <w:rPr>
          <w:rFonts w:eastAsia="Calibri"/>
          <w:lang w:eastAsia="en-US"/>
        </w:rPr>
      </w:pPr>
    </w:p>
    <w:p w:rsidR="00B552F5" w:rsidRDefault="00B552F5" w:rsidP="00DA531B">
      <w:pPr>
        <w:jc w:val="center"/>
        <w:rPr>
          <w:rFonts w:eastAsia="Calibri"/>
          <w:lang w:eastAsia="en-US"/>
        </w:rPr>
      </w:pPr>
    </w:p>
    <w:p w:rsidR="00B552F5" w:rsidRDefault="00AD2641" w:rsidP="00AD2641">
      <w:pPr>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sidR="009140ED" w:rsidRPr="00504671">
        <w:rPr>
          <w:rFonts w:eastAsia="Calibri"/>
          <w:lang w:eastAsia="en-US"/>
        </w:rPr>
        <w:t xml:space="preserve">VEREADOR </w:t>
      </w:r>
      <w:r w:rsidR="009140ED">
        <w:rPr>
          <w:rFonts w:eastAsia="Calibri"/>
          <w:lang w:eastAsia="en-US"/>
        </w:rPr>
        <w:t>FELIPE CAMOZZATO</w:t>
      </w:r>
    </w:p>
    <w:p w:rsidR="009140ED" w:rsidRDefault="00B552F5" w:rsidP="00B73F37">
      <w:pPr>
        <w:rPr>
          <w:rFonts w:eastAsia="Calibri"/>
          <w:lang w:eastAsia="en-US"/>
        </w:rPr>
      </w:pPr>
      <w:r>
        <w:rPr>
          <w:rFonts w:eastAsia="Calibri"/>
          <w:lang w:eastAsia="en-US"/>
        </w:rPr>
        <w:br w:type="page"/>
      </w:r>
    </w:p>
    <w:p w:rsidR="00847E49" w:rsidRPr="00847E49" w:rsidRDefault="00847E49" w:rsidP="009654CD">
      <w:pPr>
        <w:jc w:val="center"/>
        <w:rPr>
          <w:b/>
          <w:bCs/>
        </w:rPr>
      </w:pPr>
      <w:r w:rsidRPr="00847E49">
        <w:rPr>
          <w:b/>
          <w:bCs/>
        </w:rPr>
        <w:lastRenderedPageBreak/>
        <w:t xml:space="preserve">PROJETO DE </w:t>
      </w:r>
      <w:r w:rsidR="00DD165F">
        <w:rPr>
          <w:b/>
          <w:bCs/>
        </w:rPr>
        <w:t>LEI</w:t>
      </w:r>
    </w:p>
    <w:p w:rsidR="00847E49" w:rsidRPr="008B44B4" w:rsidRDefault="00847E49" w:rsidP="008B44B4">
      <w:pPr>
        <w:pStyle w:val="Default"/>
        <w:jc w:val="center"/>
        <w:rPr>
          <w:bCs/>
        </w:rPr>
      </w:pPr>
    </w:p>
    <w:p w:rsidR="0046365B" w:rsidRPr="008B44B4" w:rsidRDefault="0046365B" w:rsidP="008B44B4">
      <w:pPr>
        <w:pStyle w:val="Default"/>
        <w:jc w:val="center"/>
        <w:rPr>
          <w:bCs/>
        </w:rPr>
      </w:pPr>
    </w:p>
    <w:p w:rsidR="00BE065D" w:rsidRPr="008B44B4" w:rsidRDefault="00BE065D" w:rsidP="008B44B4">
      <w:pPr>
        <w:autoSpaceDE w:val="0"/>
        <w:autoSpaceDN w:val="0"/>
        <w:adjustRightInd w:val="0"/>
        <w:jc w:val="center"/>
      </w:pPr>
    </w:p>
    <w:p w:rsidR="00BE065D" w:rsidRPr="008B44B4" w:rsidRDefault="00E13D23" w:rsidP="00566BBB">
      <w:pPr>
        <w:autoSpaceDE w:val="0"/>
        <w:autoSpaceDN w:val="0"/>
        <w:adjustRightInd w:val="0"/>
        <w:ind w:left="4253"/>
        <w:jc w:val="both"/>
      </w:pPr>
      <w:r>
        <w:rPr>
          <w:b/>
        </w:rPr>
        <w:t>Institui</w:t>
      </w:r>
      <w:r w:rsidRPr="00E13D23">
        <w:rPr>
          <w:b/>
        </w:rPr>
        <w:t xml:space="preserve"> política de transparência na cobrança do Imposto </w:t>
      </w:r>
      <w:r w:rsidR="00AA63CD" w:rsidRPr="00B73F37">
        <w:rPr>
          <w:b/>
        </w:rPr>
        <w:t>Sobre a Propriedade</w:t>
      </w:r>
      <w:r w:rsidR="00AA63CD">
        <w:t xml:space="preserve"> </w:t>
      </w:r>
      <w:r w:rsidRPr="00E13D23">
        <w:rPr>
          <w:b/>
        </w:rPr>
        <w:t>Predial e Territorial Urban</w:t>
      </w:r>
      <w:r w:rsidR="00AA63CD">
        <w:rPr>
          <w:b/>
        </w:rPr>
        <w:t>a</w:t>
      </w:r>
      <w:r w:rsidRPr="00E13D23">
        <w:rPr>
          <w:b/>
        </w:rPr>
        <w:t xml:space="preserve"> – IPTU – no Município de Porto Alegre</w:t>
      </w:r>
      <w:r w:rsidR="00566BBB" w:rsidRPr="00566BBB">
        <w:rPr>
          <w:b/>
        </w:rPr>
        <w:t>.</w:t>
      </w:r>
    </w:p>
    <w:p w:rsidR="00BE065D" w:rsidRDefault="00BE065D" w:rsidP="008B44B4">
      <w:pPr>
        <w:autoSpaceDE w:val="0"/>
        <w:autoSpaceDN w:val="0"/>
        <w:adjustRightInd w:val="0"/>
        <w:jc w:val="center"/>
      </w:pPr>
    </w:p>
    <w:p w:rsidR="00566BBB" w:rsidRPr="008B44B4" w:rsidRDefault="00566BBB" w:rsidP="008B44B4">
      <w:pPr>
        <w:autoSpaceDE w:val="0"/>
        <w:autoSpaceDN w:val="0"/>
        <w:adjustRightInd w:val="0"/>
        <w:jc w:val="center"/>
      </w:pPr>
    </w:p>
    <w:p w:rsidR="00F040FB" w:rsidRDefault="009140ED" w:rsidP="00F040FB">
      <w:pPr>
        <w:ind w:firstLine="1418"/>
        <w:jc w:val="both"/>
      </w:pPr>
      <w:r>
        <w:rPr>
          <w:b/>
        </w:rPr>
        <w:t>Art. 1</w:t>
      </w:r>
      <w:proofErr w:type="gramStart"/>
      <w:r>
        <w:rPr>
          <w:b/>
        </w:rPr>
        <w:t xml:space="preserve">º </w:t>
      </w:r>
      <w:r>
        <w:t xml:space="preserve"> </w:t>
      </w:r>
      <w:r w:rsidR="00F040FB">
        <w:t>Fica</w:t>
      </w:r>
      <w:proofErr w:type="gramEnd"/>
      <w:r w:rsidR="00F040FB">
        <w:t xml:space="preserve"> instituída política de transparência na cobrança d</w:t>
      </w:r>
      <w:r w:rsidR="00E13D23">
        <w:t xml:space="preserve">o Imposto </w:t>
      </w:r>
      <w:r w:rsidR="00AA63CD">
        <w:t xml:space="preserve">Sobre a Propriedade </w:t>
      </w:r>
      <w:r w:rsidR="00E13D23">
        <w:t>Predial e Territorial Urban</w:t>
      </w:r>
      <w:r w:rsidR="00AA63CD">
        <w:t>a</w:t>
      </w:r>
      <w:r w:rsidR="00E13D23">
        <w:t xml:space="preserve"> – IPTU – </w:t>
      </w:r>
      <w:r w:rsidR="00F040FB">
        <w:t>no Município de Porto Alegre, com os seguintes objetivos:</w:t>
      </w:r>
    </w:p>
    <w:p w:rsidR="00F040FB" w:rsidRDefault="00F040FB" w:rsidP="00F040FB">
      <w:pPr>
        <w:ind w:firstLine="1418"/>
        <w:jc w:val="both"/>
      </w:pPr>
    </w:p>
    <w:p w:rsidR="00F040FB" w:rsidRDefault="00F040FB" w:rsidP="00F040FB">
      <w:pPr>
        <w:ind w:firstLine="1418"/>
        <w:jc w:val="both"/>
      </w:pPr>
      <w:r>
        <w:t xml:space="preserve">I </w:t>
      </w:r>
      <w:r w:rsidRPr="00F040FB">
        <w:t>–</w:t>
      </w:r>
      <w:r>
        <w:t xml:space="preserve"> </w:t>
      </w:r>
      <w:proofErr w:type="gramStart"/>
      <w:r>
        <w:t>instituir</w:t>
      </w:r>
      <w:proofErr w:type="gramEnd"/>
      <w:r>
        <w:t xml:space="preserve"> uma relação de cunho cooperativo entre a administração tributária municipal e o cidadão;</w:t>
      </w:r>
    </w:p>
    <w:p w:rsidR="00F040FB" w:rsidRDefault="00F040FB" w:rsidP="00F040FB">
      <w:pPr>
        <w:ind w:firstLine="1418"/>
        <w:jc w:val="both"/>
      </w:pPr>
    </w:p>
    <w:p w:rsidR="00F040FB" w:rsidRDefault="00F040FB" w:rsidP="00F040FB">
      <w:pPr>
        <w:ind w:firstLine="1418"/>
        <w:jc w:val="both"/>
      </w:pPr>
      <w:r>
        <w:t xml:space="preserve">II </w:t>
      </w:r>
      <w:r w:rsidRPr="00F040FB">
        <w:t>–</w:t>
      </w:r>
      <w:r>
        <w:t xml:space="preserve"> </w:t>
      </w:r>
      <w:proofErr w:type="gramStart"/>
      <w:r>
        <w:t>disponibilizar</w:t>
      </w:r>
      <w:proofErr w:type="gramEnd"/>
      <w:r>
        <w:t xml:space="preserve"> ao cidadão informações a respeito da arrecadação oriunda do </w:t>
      </w:r>
      <w:r w:rsidR="002761B8">
        <w:t>tributo</w:t>
      </w:r>
      <w:r>
        <w:t>;</w:t>
      </w:r>
    </w:p>
    <w:p w:rsidR="00F040FB" w:rsidRDefault="00F040FB" w:rsidP="00F040FB">
      <w:pPr>
        <w:ind w:firstLine="1418"/>
        <w:jc w:val="both"/>
      </w:pPr>
    </w:p>
    <w:p w:rsidR="00F040FB" w:rsidRDefault="00F040FB" w:rsidP="00F040FB">
      <w:pPr>
        <w:ind w:firstLine="1418"/>
        <w:jc w:val="both"/>
      </w:pPr>
      <w:r>
        <w:t>III – permitir o conhecimento público das variáveis que compõem o valor do tributo, especialmente os critérios que pautaram a definição da base de cálculo; e</w:t>
      </w:r>
    </w:p>
    <w:p w:rsidR="00F040FB" w:rsidRDefault="00F040FB" w:rsidP="00F040FB">
      <w:pPr>
        <w:ind w:firstLine="1418"/>
        <w:jc w:val="both"/>
      </w:pPr>
    </w:p>
    <w:p w:rsidR="00F040FB" w:rsidRDefault="00F040FB" w:rsidP="00F040FB">
      <w:pPr>
        <w:ind w:firstLine="1418"/>
        <w:jc w:val="both"/>
      </w:pPr>
      <w:r>
        <w:t xml:space="preserve">IV – </w:t>
      </w:r>
      <w:proofErr w:type="gramStart"/>
      <w:r>
        <w:t>garantir</w:t>
      </w:r>
      <w:proofErr w:type="gramEnd"/>
      <w:r>
        <w:t xml:space="preserve"> ao cidadão as informações necessárias para que possa exercer seu direito à contestação do tributo lançado</w:t>
      </w:r>
      <w:r w:rsidR="00E13D23">
        <w:t>.</w:t>
      </w:r>
    </w:p>
    <w:p w:rsidR="00F040FB" w:rsidRDefault="00F040FB" w:rsidP="00F040FB">
      <w:pPr>
        <w:ind w:firstLine="1418"/>
        <w:jc w:val="both"/>
      </w:pPr>
    </w:p>
    <w:p w:rsidR="00F040FB" w:rsidRDefault="00F040FB" w:rsidP="00F040FB">
      <w:pPr>
        <w:ind w:firstLine="1418"/>
        <w:jc w:val="both"/>
      </w:pPr>
      <w:r w:rsidRPr="00F040FB">
        <w:rPr>
          <w:b/>
        </w:rPr>
        <w:t>Art. 2</w:t>
      </w:r>
      <w:proofErr w:type="gramStart"/>
      <w:r w:rsidRPr="00F040FB">
        <w:rPr>
          <w:b/>
        </w:rPr>
        <w:t>º</w:t>
      </w:r>
      <w:r>
        <w:t xml:space="preserve">  O</w:t>
      </w:r>
      <w:proofErr w:type="gramEnd"/>
      <w:r>
        <w:t xml:space="preserve"> documento, eletrônico ou físico, expedido pela Secretaria Municipal da Fazenda que sirva como guia de arrecadação do IPTU deverá conter</w:t>
      </w:r>
      <w:r w:rsidR="0023321A">
        <w:t>,</w:t>
      </w:r>
      <w:r>
        <w:t xml:space="preserve"> ou trazer em anexo</w:t>
      </w:r>
      <w:r w:rsidR="0023321A">
        <w:t>,</w:t>
      </w:r>
      <w:r>
        <w:t xml:space="preserve"> </w:t>
      </w:r>
      <w:r w:rsidR="0023321A">
        <w:t xml:space="preserve">as seguintes </w:t>
      </w:r>
      <w:r>
        <w:t>informações</w:t>
      </w:r>
      <w:r w:rsidR="0023321A">
        <w:t>, de forma</w:t>
      </w:r>
      <w:r>
        <w:t xml:space="preserve"> objetiva e concisa:</w:t>
      </w:r>
    </w:p>
    <w:p w:rsidR="00F040FB" w:rsidRDefault="00F040FB" w:rsidP="00F040FB">
      <w:pPr>
        <w:ind w:firstLine="1418"/>
        <w:jc w:val="both"/>
      </w:pPr>
    </w:p>
    <w:p w:rsidR="00F040FB" w:rsidRDefault="00F040FB" w:rsidP="00F040FB">
      <w:pPr>
        <w:ind w:firstLine="1418"/>
        <w:jc w:val="both"/>
      </w:pPr>
      <w:r>
        <w:t xml:space="preserve">I – </w:t>
      </w:r>
      <w:proofErr w:type="gramStart"/>
      <w:r>
        <w:t>o</w:t>
      </w:r>
      <w:proofErr w:type="gramEnd"/>
      <w:r>
        <w:t xml:space="preserve"> valor total de arrecada</w:t>
      </w:r>
      <w:r w:rsidR="008D3A84">
        <w:t>ção</w:t>
      </w:r>
      <w:r>
        <w:t xml:space="preserve"> </w:t>
      </w:r>
      <w:r w:rsidR="008D3A84">
        <w:t>oriunda do tributo no bairro em que está localizado o imóvel,</w:t>
      </w:r>
      <w:r w:rsidR="008D3A84" w:rsidDel="00AA63CD">
        <w:t xml:space="preserve"> </w:t>
      </w:r>
      <w:r>
        <w:t xml:space="preserve">no exercício </w:t>
      </w:r>
      <w:r w:rsidR="00137173">
        <w:t xml:space="preserve">anterior </w:t>
      </w:r>
      <w:r w:rsidR="00DD6191">
        <w:t>ao da</w:t>
      </w:r>
      <w:r>
        <w:t xml:space="preserve"> expedição do documento; </w:t>
      </w:r>
    </w:p>
    <w:p w:rsidR="00F040FB" w:rsidRDefault="00F040FB" w:rsidP="00F040FB">
      <w:pPr>
        <w:ind w:firstLine="1418"/>
        <w:jc w:val="both"/>
      </w:pPr>
    </w:p>
    <w:p w:rsidR="00F040FB" w:rsidRDefault="00F040FB" w:rsidP="00F040FB">
      <w:pPr>
        <w:ind w:firstLine="1418"/>
        <w:jc w:val="both"/>
      </w:pPr>
      <w:r>
        <w:t xml:space="preserve">II – </w:t>
      </w:r>
      <w:proofErr w:type="gramStart"/>
      <w:r w:rsidR="00137173">
        <w:t>a</w:t>
      </w:r>
      <w:r>
        <w:t>s</w:t>
      </w:r>
      <w:proofErr w:type="gramEnd"/>
      <w:r>
        <w:t xml:space="preserve"> variáveis</w:t>
      </w:r>
      <w:r w:rsidR="00DD6191">
        <w:t xml:space="preserve"> envolvidas </w:t>
      </w:r>
      <w:r>
        <w:t xml:space="preserve">e a fórmula </w:t>
      </w:r>
      <w:r w:rsidR="00DD6191">
        <w:t>de cálculo utilizada para</w:t>
      </w:r>
      <w:r>
        <w:t xml:space="preserve"> </w:t>
      </w:r>
      <w:r w:rsidR="008D3A84">
        <w:t xml:space="preserve">se </w:t>
      </w:r>
      <w:r>
        <w:t>obte</w:t>
      </w:r>
      <w:r w:rsidR="00DD6191">
        <w:t>r</w:t>
      </w:r>
      <w:r>
        <w:t xml:space="preserve"> o valor </w:t>
      </w:r>
      <w:r w:rsidR="008D3A84">
        <w:t xml:space="preserve">do tributo </w:t>
      </w:r>
      <w:r>
        <w:t>do imóvel; e</w:t>
      </w:r>
    </w:p>
    <w:p w:rsidR="00F040FB" w:rsidRDefault="00F040FB" w:rsidP="00F040FB">
      <w:pPr>
        <w:ind w:firstLine="1418"/>
        <w:jc w:val="both"/>
      </w:pPr>
    </w:p>
    <w:p w:rsidR="00F040FB" w:rsidRDefault="00F040FB" w:rsidP="00F040FB">
      <w:pPr>
        <w:ind w:firstLine="1418"/>
        <w:jc w:val="both"/>
      </w:pPr>
      <w:r>
        <w:t xml:space="preserve">III – as instruções atinentes a prazos, requisitos e provas necessárias para abertura de procedimento instituído para revisão, reclamação, contestação ou impugnação do </w:t>
      </w:r>
      <w:r w:rsidR="008D3A84">
        <w:t xml:space="preserve">tributo </w:t>
      </w:r>
      <w:r>
        <w:t>lança</w:t>
      </w:r>
      <w:r w:rsidR="008D3A84">
        <w:t>do</w:t>
      </w:r>
      <w:r>
        <w:t>.</w:t>
      </w:r>
    </w:p>
    <w:p w:rsidR="00F040FB" w:rsidRDefault="00F040FB" w:rsidP="00F040FB">
      <w:pPr>
        <w:ind w:firstLine="1418"/>
        <w:jc w:val="both"/>
      </w:pPr>
    </w:p>
    <w:p w:rsidR="00F040FB" w:rsidRDefault="00F040FB" w:rsidP="00F040FB">
      <w:pPr>
        <w:ind w:firstLine="1418"/>
        <w:jc w:val="both"/>
      </w:pPr>
      <w:r w:rsidRPr="00F040FB">
        <w:rPr>
          <w:b/>
        </w:rPr>
        <w:t>Parágrafo único.</w:t>
      </w:r>
      <w:r>
        <w:t xml:space="preserve">  A autoridade administrativa </w:t>
      </w:r>
      <w:r w:rsidR="00B73F37">
        <w:t>não poderá deixar de</w:t>
      </w:r>
      <w:r>
        <w:t xml:space="preserve"> conhecer e examinar a reclamação formulada pelo contribuinte em razão de vício formal que não lhe tenha sido previamente informado ou notificado para sanar.</w:t>
      </w:r>
    </w:p>
    <w:p w:rsidR="00F040FB" w:rsidRDefault="00F040FB" w:rsidP="00F040FB">
      <w:pPr>
        <w:ind w:firstLine="1418"/>
        <w:jc w:val="both"/>
      </w:pPr>
    </w:p>
    <w:p w:rsidR="00F040FB" w:rsidRDefault="00F040FB" w:rsidP="00F040FB">
      <w:pPr>
        <w:ind w:firstLine="1418"/>
        <w:jc w:val="both"/>
      </w:pPr>
      <w:r w:rsidRPr="00F040FB">
        <w:rPr>
          <w:b/>
        </w:rPr>
        <w:t>Art. 3</w:t>
      </w:r>
      <w:proofErr w:type="gramStart"/>
      <w:r w:rsidRPr="00F040FB">
        <w:rPr>
          <w:b/>
        </w:rPr>
        <w:t>º</w:t>
      </w:r>
      <w:r>
        <w:t xml:space="preserve">  </w:t>
      </w:r>
      <w:r w:rsidR="0023321A">
        <w:t>A</w:t>
      </w:r>
      <w:r>
        <w:t>s</w:t>
      </w:r>
      <w:proofErr w:type="gramEnd"/>
      <w:r>
        <w:t xml:space="preserve"> informações completas e pormenorizadas </w:t>
      </w:r>
      <w:r w:rsidR="00E13D23">
        <w:t>referid</w:t>
      </w:r>
      <w:r w:rsidR="0023321A">
        <w:t>a</w:t>
      </w:r>
      <w:r w:rsidR="00E13D23">
        <w:t>s n</w:t>
      </w:r>
      <w:r>
        <w:t>o art. 2º desta Lei</w:t>
      </w:r>
      <w:r w:rsidR="0023321A" w:rsidRPr="0023321A">
        <w:t xml:space="preserve"> </w:t>
      </w:r>
      <w:r w:rsidR="0023321A">
        <w:t>serão disponibilizadas aos cidadãos na internet</w:t>
      </w:r>
      <w:r>
        <w:t>, em endereço eletrônico a ser informado na guia de arrecadação</w:t>
      </w:r>
      <w:r w:rsidR="0023321A">
        <w:t xml:space="preserve"> do IPTU</w:t>
      </w:r>
      <w:r>
        <w:t>.</w:t>
      </w:r>
    </w:p>
    <w:p w:rsidR="00D26197" w:rsidRDefault="00F040FB" w:rsidP="00F040FB">
      <w:pPr>
        <w:ind w:firstLine="1418"/>
        <w:jc w:val="both"/>
      </w:pPr>
      <w:r w:rsidRPr="00F040FB">
        <w:rPr>
          <w:b/>
        </w:rPr>
        <w:t>Parágrafo único.</w:t>
      </w:r>
      <w:r>
        <w:t xml:space="preserve">  As informações </w:t>
      </w:r>
      <w:r w:rsidR="002761B8">
        <w:t xml:space="preserve">referidas </w:t>
      </w:r>
      <w:r>
        <w:t xml:space="preserve">no </w:t>
      </w:r>
      <w:r w:rsidRPr="00B73F37">
        <w:rPr>
          <w:i/>
        </w:rPr>
        <w:t>caput</w:t>
      </w:r>
      <w:r>
        <w:t xml:space="preserve"> deste artigo poderão ser consolidadas em uma ferramenta </w:t>
      </w:r>
      <w:r w:rsidRPr="00B73F37">
        <w:rPr>
          <w:i/>
        </w:rPr>
        <w:t>on</w:t>
      </w:r>
      <w:r w:rsidR="00E13D23" w:rsidRPr="00B73F37">
        <w:rPr>
          <w:i/>
        </w:rPr>
        <w:t>-</w:t>
      </w:r>
      <w:r w:rsidRPr="00B73F37">
        <w:rPr>
          <w:i/>
        </w:rPr>
        <w:t>line</w:t>
      </w:r>
      <w:r>
        <w:t xml:space="preserve"> de cálculo que permita a apuração do valor aproximado d</w:t>
      </w:r>
      <w:r w:rsidR="008D3A84">
        <w:t>o</w:t>
      </w:r>
      <w:r>
        <w:t xml:space="preserve"> IPTU por imóvel.</w:t>
      </w:r>
    </w:p>
    <w:p w:rsidR="00F040FB" w:rsidRDefault="0023321A" w:rsidP="00F040FB">
      <w:pPr>
        <w:ind w:firstLine="1418"/>
        <w:jc w:val="both"/>
      </w:pPr>
      <w:r>
        <w:t xml:space="preserve"> </w:t>
      </w:r>
    </w:p>
    <w:p w:rsidR="00DD165F" w:rsidRDefault="00F040FB" w:rsidP="00DD165F">
      <w:pPr>
        <w:ind w:firstLine="1418"/>
        <w:jc w:val="both"/>
      </w:pPr>
      <w:r>
        <w:rPr>
          <w:b/>
        </w:rPr>
        <w:t>Art. 4</w:t>
      </w:r>
      <w:proofErr w:type="gramStart"/>
      <w:r w:rsidR="00BE065D">
        <w:rPr>
          <w:b/>
        </w:rPr>
        <w:t xml:space="preserve">º </w:t>
      </w:r>
      <w:r w:rsidR="00BE065D">
        <w:t xml:space="preserve"> </w:t>
      </w:r>
      <w:r w:rsidR="00DD165F" w:rsidRPr="00C92F44">
        <w:t>Esta</w:t>
      </w:r>
      <w:proofErr w:type="gramEnd"/>
      <w:r w:rsidR="00DD165F" w:rsidRPr="00C92F44">
        <w:t xml:space="preserve"> </w:t>
      </w:r>
      <w:r w:rsidR="00DD165F">
        <w:t>L</w:t>
      </w:r>
      <w:r w:rsidR="00DD165F" w:rsidRPr="00C92F44">
        <w:t>ei entra em vigor na data de sua publicação.</w:t>
      </w: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F040FB" w:rsidRDefault="00F040FB" w:rsidP="00F040FB">
      <w:pPr>
        <w:jc w:val="both"/>
        <w:rPr>
          <w:bCs/>
          <w:sz w:val="20"/>
          <w:szCs w:val="20"/>
        </w:rPr>
      </w:pPr>
    </w:p>
    <w:p w:rsidR="00322580" w:rsidRPr="0017042C" w:rsidRDefault="00F040FB" w:rsidP="00F040FB">
      <w:pPr>
        <w:jc w:val="both"/>
        <w:rPr>
          <w:bCs/>
          <w:sz w:val="20"/>
          <w:szCs w:val="20"/>
        </w:rPr>
      </w:pPr>
      <w:r>
        <w:rPr>
          <w:bCs/>
          <w:sz w:val="20"/>
          <w:szCs w:val="20"/>
        </w:rPr>
        <w:t>/TAM</w:t>
      </w:r>
    </w:p>
    <w:sectPr w:rsidR="00322580" w:rsidRPr="0017042C" w:rsidSect="00B73F37">
      <w:headerReference w:type="default" r:id="rId8"/>
      <w:pgSz w:w="11907" w:h="16840" w:code="9"/>
      <w:pgMar w:top="1134" w:right="851" w:bottom="851" w:left="1701" w:header="227" w:footer="66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D71" w:rsidRDefault="00DC3D71">
      <w:r>
        <w:separator/>
      </w:r>
    </w:p>
  </w:endnote>
  <w:endnote w:type="continuationSeparator" w:id="0">
    <w:p w:rsidR="00DC3D71" w:rsidRDefault="00DC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D71" w:rsidRDefault="00DC3D71">
      <w:r>
        <w:separator/>
      </w:r>
    </w:p>
  </w:footnote>
  <w:footnote w:type="continuationSeparator" w:id="0">
    <w:p w:rsidR="00DC3D71" w:rsidRDefault="00DC3D71">
      <w:r>
        <w:continuationSeparator/>
      </w:r>
    </w:p>
  </w:footnote>
  <w:footnote w:id="1">
    <w:p w:rsidR="00F040FB" w:rsidRPr="006F05E1" w:rsidRDefault="00F040FB" w:rsidP="00B73F37">
      <w:pPr>
        <w:pStyle w:val="Textodenotaderodap"/>
        <w:ind w:left="340" w:hanging="340"/>
        <w:jc w:val="both"/>
      </w:pPr>
      <w:r>
        <w:rPr>
          <w:rStyle w:val="Refdenotaderodap"/>
        </w:rPr>
        <w:footnoteRef/>
      </w:r>
      <w:r>
        <w:t xml:space="preserve"> Essa </w:t>
      </w:r>
      <w:r w:rsidR="00114525">
        <w:t xml:space="preserve">é </w:t>
      </w:r>
      <w:r>
        <w:t xml:space="preserve">a tese de PORTO, </w:t>
      </w:r>
      <w:proofErr w:type="spellStart"/>
      <w:r>
        <w:t>Éderson</w:t>
      </w:r>
      <w:proofErr w:type="spellEnd"/>
      <w:r>
        <w:t xml:space="preserve"> </w:t>
      </w:r>
      <w:proofErr w:type="spellStart"/>
      <w:r>
        <w:t>Garin</w:t>
      </w:r>
      <w:proofErr w:type="spellEnd"/>
      <w:r>
        <w:t xml:space="preserve">. </w:t>
      </w:r>
      <w:r w:rsidRPr="006F05E1">
        <w:rPr>
          <w:i/>
        </w:rPr>
        <w:t>A Colaboração no Direito Tributário</w:t>
      </w:r>
      <w:r>
        <w:t>. Porto Alegre: Livraria do Advogado, 2016.</w:t>
      </w:r>
    </w:p>
  </w:footnote>
  <w:footnote w:id="2">
    <w:p w:rsidR="00F040FB" w:rsidRPr="006F05E1" w:rsidRDefault="00F040FB" w:rsidP="00F040FB">
      <w:pPr>
        <w:pStyle w:val="Textodenotaderodap"/>
      </w:pPr>
      <w:r>
        <w:rPr>
          <w:rStyle w:val="Refdenotaderodap"/>
        </w:rPr>
        <w:footnoteRef/>
      </w:r>
      <w:r>
        <w:t xml:space="preserve"> </w:t>
      </w:r>
      <w:r w:rsidRPr="006F05E1">
        <w:t>FREITAS, Juarez</w:t>
      </w:r>
      <w:r w:rsidRPr="006F05E1">
        <w:rPr>
          <w:i/>
        </w:rPr>
        <w:t>. Discricionariedade Administrativa e o Direito Fundamental à Boa Administração Pública</w:t>
      </w:r>
      <w:r w:rsidRPr="006F05E1">
        <w:t>. 2 ed. São Paulo: Malheiros, 2009, p. 22</w:t>
      </w:r>
      <w:r>
        <w:t>.</w:t>
      </w:r>
    </w:p>
  </w:footnote>
  <w:footnote w:id="3">
    <w:p w:rsidR="00F040FB" w:rsidRPr="0080224B" w:rsidRDefault="00F040FB" w:rsidP="00F040FB">
      <w:pPr>
        <w:pStyle w:val="Textodenotaderodap"/>
        <w:jc w:val="both"/>
      </w:pPr>
      <w:r w:rsidRPr="0080224B">
        <w:rPr>
          <w:rStyle w:val="Refdenotaderodap"/>
        </w:rPr>
        <w:footnoteRef/>
      </w:r>
      <w:r w:rsidRPr="0080224B">
        <w:t xml:space="preserve"> SCHOUERI, Luís Eduardo. </w:t>
      </w:r>
      <w:proofErr w:type="gramStart"/>
      <w:r w:rsidRPr="0080224B">
        <w:rPr>
          <w:i/>
        </w:rPr>
        <w:t>Direito Tributário</w:t>
      </w:r>
      <w:proofErr w:type="gramEnd"/>
      <w:r w:rsidRPr="0080224B">
        <w:rPr>
          <w:i/>
        </w:rPr>
        <w:t xml:space="preserve">. </w:t>
      </w:r>
      <w:r w:rsidRPr="0080224B">
        <w:t>São Paulo, Saraiva, 2011, p. 274.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AC2" w:rsidRDefault="00E62B91" w:rsidP="00244AC2">
    <w:pPr>
      <w:pStyle w:val="Cabealho"/>
      <w:jc w:val="right"/>
      <w:rPr>
        <w:b/>
        <w:bCs/>
      </w:rPr>
    </w:pPr>
    <w:r>
      <w:rPr>
        <w:noProof/>
      </w:rPr>
      <mc:AlternateContent>
        <mc:Choice Requires="wps">
          <w:drawing>
            <wp:anchor distT="45720" distB="45720" distL="114300" distR="114300" simplePos="0" relativeHeight="251657728" behindDoc="0" locked="0" layoutInCell="1" allowOverlap="1">
              <wp:simplePos x="0" y="0"/>
              <wp:positionH relativeFrom="column">
                <wp:posOffset>4663440</wp:posOffset>
              </wp:positionH>
              <wp:positionV relativeFrom="paragraph">
                <wp:posOffset>132080</wp:posOffset>
              </wp:positionV>
              <wp:extent cx="1314450" cy="247650"/>
              <wp:effectExtent l="0" t="0" r="19050" b="1905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4AC2" w:rsidRDefault="004B104D" w:rsidP="008115B7">
                          <w:pPr>
                            <w:pStyle w:val="Cabealho"/>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8115B7">
                            <w:rPr>
                              <w:b/>
                              <w:bCs/>
                              <w:noProof/>
                            </w:rPr>
                            <w:t>5</w:t>
                          </w:r>
                          <w:r w:rsidRPr="005460FE">
                            <w:rPr>
                              <w:b/>
                              <w:bCs/>
                            </w:rPr>
                            <w:fldChar w:fldCharType="end"/>
                          </w:r>
                          <w:r w:rsidRPr="005460FE">
                            <w:rPr>
                              <w:b/>
                              <w:bCs/>
                            </w:rPr>
                            <w:t>|_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67.2pt;margin-top:10.4pt;width:103.5pt;height:1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" filled="f">
              <v:textbox>
                <w:txbxContent>
                  <w:p w:rsidR="00244AC2" w:rsidRDefault="004B104D" w:rsidP="008115B7">
                    <w:pPr>
                      <w:pStyle w:val="Cabealho"/>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8115B7">
                      <w:rPr>
                        <w:b/>
                        <w:bCs/>
                        <w:noProof/>
                      </w:rPr>
                      <w:t>5</w:t>
                    </w:r>
                    <w:r w:rsidRPr="005460FE">
                      <w:rPr>
                        <w:b/>
                        <w:bCs/>
                      </w:rPr>
                      <w:fldChar w:fldCharType="end"/>
                    </w:r>
                    <w:r w:rsidRPr="005460FE">
                      <w:rPr>
                        <w:b/>
                        <w:bCs/>
                      </w:rPr>
                      <w:t>|_</w:t>
                    </w:r>
                  </w:p>
                </w:txbxContent>
              </v:textbox>
              <w10:wrap type="square"/>
            </v:shape>
          </w:pict>
        </mc:Fallback>
      </mc:AlternateContent>
    </w:r>
  </w:p>
  <w:p w:rsidR="004B104D" w:rsidRDefault="004B104D" w:rsidP="00244AC2">
    <w:pPr>
      <w:pStyle w:val="Cabealho"/>
      <w:jc w:val="right"/>
      <w:rPr>
        <w:b/>
        <w:bCs/>
      </w:rPr>
    </w:pPr>
  </w:p>
  <w:p w:rsidR="00244AC2" w:rsidRDefault="00244AC2" w:rsidP="00244AC2">
    <w:pPr>
      <w:pStyle w:val="Cabealho"/>
      <w:jc w:val="right"/>
      <w:rPr>
        <w:b/>
        <w:bCs/>
      </w:rPr>
    </w:pPr>
  </w:p>
  <w:p w:rsidR="004B104D" w:rsidRDefault="00322580">
    <w:pPr>
      <w:pStyle w:val="Cabealho"/>
      <w:tabs>
        <w:tab w:val="left" w:pos="7371"/>
      </w:tabs>
      <w:jc w:val="right"/>
      <w:rPr>
        <w:b/>
        <w:bCs/>
      </w:rPr>
    </w:pPr>
    <w:r>
      <w:rPr>
        <w:b/>
        <w:bCs/>
      </w:rPr>
      <w:t xml:space="preserve">PROC. Nº   </w:t>
    </w:r>
    <w:r w:rsidR="00F040FB">
      <w:rPr>
        <w:b/>
        <w:bCs/>
      </w:rPr>
      <w:t>2762</w:t>
    </w:r>
    <w:r w:rsidR="009339B1">
      <w:rPr>
        <w:b/>
        <w:bCs/>
      </w:rPr>
      <w:t>/</w:t>
    </w:r>
    <w:r w:rsidR="009140ED">
      <w:rPr>
        <w:b/>
        <w:bCs/>
      </w:rPr>
      <w:t>17</w:t>
    </w:r>
  </w:p>
  <w:p w:rsidR="00244AC2" w:rsidRDefault="00DD165F">
    <w:pPr>
      <w:pStyle w:val="Cabealho"/>
      <w:jc w:val="right"/>
      <w:rPr>
        <w:b/>
        <w:bCs/>
      </w:rPr>
    </w:pPr>
    <w:r>
      <w:rPr>
        <w:b/>
        <w:bCs/>
      </w:rPr>
      <w:t>PLL</w:t>
    </w:r>
    <w:r w:rsidR="00244AC2">
      <w:rPr>
        <w:b/>
        <w:bCs/>
      </w:rPr>
      <w:t xml:space="preserve">     Nº     </w:t>
    </w:r>
    <w:r w:rsidR="00F040FB">
      <w:rPr>
        <w:b/>
        <w:bCs/>
      </w:rPr>
      <w:t>305</w:t>
    </w:r>
    <w:r w:rsidR="009339B1">
      <w:rPr>
        <w:b/>
        <w:bCs/>
      </w:rPr>
      <w:t>/</w:t>
    </w:r>
    <w:r w:rsidR="009140ED">
      <w:rPr>
        <w:b/>
        <w:bCs/>
      </w:rPr>
      <w:t>17</w:t>
    </w:r>
  </w:p>
  <w:p w:rsidR="00244AC2" w:rsidRDefault="00244AC2" w:rsidP="00244AC2">
    <w:pPr>
      <w:pStyle w:val="Cabealho"/>
      <w:jc w:val="right"/>
      <w:rPr>
        <w:b/>
        <w:bCs/>
      </w:rPr>
    </w:pPr>
  </w:p>
  <w:p w:rsidR="00244AC2" w:rsidRDefault="00244AC2" w:rsidP="00244AC2">
    <w:pPr>
      <w:pStyle w:val="Cabealho"/>
      <w:jc w:val="right"/>
      <w:rPr>
        <w:b/>
        <w:bCs/>
      </w:rPr>
    </w:pPr>
  </w:p>
  <w:p w:rsidR="00BE065D" w:rsidRDefault="00BE065D" w:rsidP="00244AC2">
    <w:pPr>
      <w:pStyle w:val="Cabealho"/>
      <w:jc w:val="right"/>
      <w:rPr>
        <w:b/>
        <w:bCs/>
      </w:rPr>
    </w:pPr>
  </w:p>
  <w:p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5E57"/>
    <w:rsid w:val="00020049"/>
    <w:rsid w:val="00026618"/>
    <w:rsid w:val="000701C2"/>
    <w:rsid w:val="000962D6"/>
    <w:rsid w:val="000B5093"/>
    <w:rsid w:val="000F535A"/>
    <w:rsid w:val="000F7E42"/>
    <w:rsid w:val="00114525"/>
    <w:rsid w:val="00137173"/>
    <w:rsid w:val="0015472C"/>
    <w:rsid w:val="0017042C"/>
    <w:rsid w:val="00176751"/>
    <w:rsid w:val="00192984"/>
    <w:rsid w:val="001D6044"/>
    <w:rsid w:val="001E3D3B"/>
    <w:rsid w:val="0020384D"/>
    <w:rsid w:val="0023321A"/>
    <w:rsid w:val="00244AC2"/>
    <w:rsid w:val="00244C1A"/>
    <w:rsid w:val="00254F83"/>
    <w:rsid w:val="00271B72"/>
    <w:rsid w:val="002761B8"/>
    <w:rsid w:val="00281135"/>
    <w:rsid w:val="00291447"/>
    <w:rsid w:val="002C2775"/>
    <w:rsid w:val="002E6459"/>
    <w:rsid w:val="002E756C"/>
    <w:rsid w:val="00315948"/>
    <w:rsid w:val="0032174A"/>
    <w:rsid w:val="00322580"/>
    <w:rsid w:val="003363CE"/>
    <w:rsid w:val="003544CB"/>
    <w:rsid w:val="0036703E"/>
    <w:rsid w:val="00375A9B"/>
    <w:rsid w:val="00381F87"/>
    <w:rsid w:val="0039795E"/>
    <w:rsid w:val="003C0D52"/>
    <w:rsid w:val="003C412E"/>
    <w:rsid w:val="003D35A4"/>
    <w:rsid w:val="003E3231"/>
    <w:rsid w:val="003E4786"/>
    <w:rsid w:val="003F6980"/>
    <w:rsid w:val="00414169"/>
    <w:rsid w:val="0042580E"/>
    <w:rsid w:val="00426579"/>
    <w:rsid w:val="00446F25"/>
    <w:rsid w:val="00453B81"/>
    <w:rsid w:val="0046365B"/>
    <w:rsid w:val="00475BF2"/>
    <w:rsid w:val="00484022"/>
    <w:rsid w:val="00487D8A"/>
    <w:rsid w:val="004A5493"/>
    <w:rsid w:val="004B104D"/>
    <w:rsid w:val="004B6A9E"/>
    <w:rsid w:val="004C1E11"/>
    <w:rsid w:val="004D2C22"/>
    <w:rsid w:val="004F273F"/>
    <w:rsid w:val="00504671"/>
    <w:rsid w:val="00520A30"/>
    <w:rsid w:val="005530F5"/>
    <w:rsid w:val="00555551"/>
    <w:rsid w:val="00556572"/>
    <w:rsid w:val="00566A9E"/>
    <w:rsid w:val="00566BBB"/>
    <w:rsid w:val="005903CC"/>
    <w:rsid w:val="00593946"/>
    <w:rsid w:val="005E63AE"/>
    <w:rsid w:val="00665150"/>
    <w:rsid w:val="006938C5"/>
    <w:rsid w:val="006951FF"/>
    <w:rsid w:val="00696100"/>
    <w:rsid w:val="006B2FE1"/>
    <w:rsid w:val="006B6B34"/>
    <w:rsid w:val="006F67D4"/>
    <w:rsid w:val="00714811"/>
    <w:rsid w:val="00772B09"/>
    <w:rsid w:val="007846FD"/>
    <w:rsid w:val="007953F9"/>
    <w:rsid w:val="007A3921"/>
    <w:rsid w:val="007E0DAA"/>
    <w:rsid w:val="007E4F26"/>
    <w:rsid w:val="007F5959"/>
    <w:rsid w:val="00802AFD"/>
    <w:rsid w:val="008115B7"/>
    <w:rsid w:val="00831400"/>
    <w:rsid w:val="00837E3C"/>
    <w:rsid w:val="00847E49"/>
    <w:rsid w:val="00855B81"/>
    <w:rsid w:val="008B4417"/>
    <w:rsid w:val="008B44B4"/>
    <w:rsid w:val="008C3A1B"/>
    <w:rsid w:val="008D3A84"/>
    <w:rsid w:val="009140ED"/>
    <w:rsid w:val="009339B1"/>
    <w:rsid w:val="00943437"/>
    <w:rsid w:val="009479C2"/>
    <w:rsid w:val="009654CD"/>
    <w:rsid w:val="00966965"/>
    <w:rsid w:val="009862B4"/>
    <w:rsid w:val="00987893"/>
    <w:rsid w:val="0099524A"/>
    <w:rsid w:val="009B5889"/>
    <w:rsid w:val="009C04EC"/>
    <w:rsid w:val="009F6C1C"/>
    <w:rsid w:val="009F6E02"/>
    <w:rsid w:val="00A52102"/>
    <w:rsid w:val="00A74362"/>
    <w:rsid w:val="00A753D4"/>
    <w:rsid w:val="00A810BB"/>
    <w:rsid w:val="00AA63CD"/>
    <w:rsid w:val="00AC2218"/>
    <w:rsid w:val="00AD2641"/>
    <w:rsid w:val="00B03454"/>
    <w:rsid w:val="00B203DA"/>
    <w:rsid w:val="00B32032"/>
    <w:rsid w:val="00B40877"/>
    <w:rsid w:val="00B4214A"/>
    <w:rsid w:val="00B552F5"/>
    <w:rsid w:val="00B73F37"/>
    <w:rsid w:val="00B93FF9"/>
    <w:rsid w:val="00BE065D"/>
    <w:rsid w:val="00C72428"/>
    <w:rsid w:val="00CA0680"/>
    <w:rsid w:val="00CA5C69"/>
    <w:rsid w:val="00CB02AD"/>
    <w:rsid w:val="00CB4EF9"/>
    <w:rsid w:val="00CD7A70"/>
    <w:rsid w:val="00D00992"/>
    <w:rsid w:val="00D26197"/>
    <w:rsid w:val="00D2732E"/>
    <w:rsid w:val="00D47542"/>
    <w:rsid w:val="00D63064"/>
    <w:rsid w:val="00D71299"/>
    <w:rsid w:val="00D84060"/>
    <w:rsid w:val="00D903DD"/>
    <w:rsid w:val="00DA531B"/>
    <w:rsid w:val="00DB2215"/>
    <w:rsid w:val="00DC3D71"/>
    <w:rsid w:val="00DD165F"/>
    <w:rsid w:val="00DD6191"/>
    <w:rsid w:val="00DE419F"/>
    <w:rsid w:val="00DF6913"/>
    <w:rsid w:val="00DF7E9A"/>
    <w:rsid w:val="00E00B36"/>
    <w:rsid w:val="00E13D23"/>
    <w:rsid w:val="00E150E6"/>
    <w:rsid w:val="00E31D59"/>
    <w:rsid w:val="00E35A27"/>
    <w:rsid w:val="00E62B91"/>
    <w:rsid w:val="00E7431A"/>
    <w:rsid w:val="00E833D3"/>
    <w:rsid w:val="00E8628A"/>
    <w:rsid w:val="00EA1192"/>
    <w:rsid w:val="00EC0C7A"/>
    <w:rsid w:val="00ED255F"/>
    <w:rsid w:val="00EE3E86"/>
    <w:rsid w:val="00EF3D40"/>
    <w:rsid w:val="00F040FB"/>
    <w:rsid w:val="00F05832"/>
    <w:rsid w:val="00F432AC"/>
    <w:rsid w:val="00F91FB6"/>
    <w:rsid w:val="00F94E39"/>
    <w:rsid w:val="00FA7195"/>
    <w:rsid w:val="00FC43CC"/>
    <w:rsid w:val="00FE0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96BEA96-F514-432D-A369-C5050C22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Textodecomentrio">
    <w:name w:val="annotation text"/>
    <w:basedOn w:val="Normal"/>
    <w:link w:val="TextodecomentrioChar"/>
    <w:uiPriority w:val="99"/>
    <w:semiHidden/>
    <w:unhideWhenUsed/>
    <w:rsid w:val="0023321A"/>
    <w:rPr>
      <w:sz w:val="20"/>
      <w:szCs w:val="20"/>
    </w:rPr>
  </w:style>
  <w:style w:type="character" w:customStyle="1" w:styleId="TextodecomentrioChar">
    <w:name w:val="Texto de comentário Char"/>
    <w:basedOn w:val="Fontepargpadro"/>
    <w:link w:val="Textodecomentrio"/>
    <w:uiPriority w:val="99"/>
    <w:semiHidden/>
    <w:rsid w:val="0023321A"/>
  </w:style>
  <w:style w:type="character" w:styleId="Refdecomentrio">
    <w:name w:val="annotation reference"/>
    <w:uiPriority w:val="99"/>
    <w:semiHidden/>
    <w:unhideWhenUsed/>
    <w:rsid w:val="002332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697391279">
      <w:bodyDiv w:val="1"/>
      <w:marLeft w:val="0"/>
      <w:marRight w:val="0"/>
      <w:marTop w:val="0"/>
      <w:marBottom w:val="0"/>
      <w:divBdr>
        <w:top w:val="none" w:sz="0" w:space="0" w:color="auto"/>
        <w:left w:val="none" w:sz="0" w:space="0" w:color="auto"/>
        <w:bottom w:val="none" w:sz="0" w:space="0" w:color="auto"/>
        <w:right w:val="none" w:sz="0" w:space="0" w:color="auto"/>
      </w:divBdr>
    </w:div>
    <w:div w:id="13144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33ABD-0952-4F4F-9522-FCA3C156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7</TotalTime>
  <Pages>4</Pages>
  <Words>735</Words>
  <Characters>4203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Cinara 14-11</cp:lastModifiedBy>
  <cp:revision>4</cp:revision>
  <cp:lastPrinted>2017-11-16T13:10:00Z</cp:lastPrinted>
  <dcterms:created xsi:type="dcterms:W3CDTF">2017-11-20T17:54:00Z</dcterms:created>
  <dcterms:modified xsi:type="dcterms:W3CDTF">2017-11-21T19:28:00Z</dcterms:modified>
</cp:coreProperties>
</file>