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48" w:rsidRDefault="00D73348" w:rsidP="00D73348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D73348" w:rsidRDefault="00D73348" w:rsidP="00D73348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D73348" w:rsidRDefault="00D73348" w:rsidP="00D73348">
      <w:pPr>
        <w:pStyle w:val="Ttulo1"/>
        <w:ind w:left="708" w:firstLine="708"/>
        <w:rPr>
          <w:rFonts w:ascii="Arial" w:hAnsi="Arial" w:cs="Arial"/>
          <w:b w:val="0"/>
          <w:sz w:val="20"/>
        </w:rPr>
      </w:pPr>
    </w:p>
    <w:p w:rsidR="00D73348" w:rsidRDefault="00D73348" w:rsidP="00D73348">
      <w:pPr>
        <w:pStyle w:val="Ttulo1"/>
        <w:ind w:left="708"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 w:rsidR="00F423F2">
        <w:rPr>
          <w:rFonts w:ascii="Arial" w:hAnsi="Arial" w:cs="Arial"/>
          <w:sz w:val="20"/>
        </w:rPr>
        <w:t xml:space="preserve"> 768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D73348" w:rsidRDefault="00D73348" w:rsidP="00D73348">
      <w:pPr>
        <w:rPr>
          <w:rFonts w:ascii="Arial" w:hAnsi="Arial" w:cs="Arial"/>
          <w:sz w:val="20"/>
          <w:szCs w:val="20"/>
        </w:rPr>
      </w:pPr>
    </w:p>
    <w:p w:rsidR="00D73348" w:rsidRDefault="00D73348" w:rsidP="00D73348">
      <w:pPr>
        <w:ind w:left="4536"/>
        <w:rPr>
          <w:rFonts w:ascii="Arial" w:hAnsi="Arial" w:cs="Arial"/>
          <w:b/>
          <w:sz w:val="20"/>
          <w:szCs w:val="20"/>
        </w:rPr>
      </w:pPr>
    </w:p>
    <w:p w:rsidR="00D73348" w:rsidRDefault="00D73348" w:rsidP="00D73348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2762</w:t>
      </w:r>
      <w:r>
        <w:rPr>
          <w:rFonts w:ascii="Arial" w:hAnsi="Arial" w:cs="Arial"/>
          <w:b/>
          <w:sz w:val="20"/>
          <w:szCs w:val="20"/>
        </w:rPr>
        <w:t>/17.</w:t>
      </w:r>
    </w:p>
    <w:p w:rsidR="00D73348" w:rsidRDefault="00D73348" w:rsidP="00D73348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305</w:t>
      </w:r>
      <w:r>
        <w:rPr>
          <w:rFonts w:ascii="Arial" w:hAnsi="Arial" w:cs="Arial"/>
          <w:b/>
          <w:sz w:val="20"/>
          <w:szCs w:val="20"/>
        </w:rPr>
        <w:t>/17.</w:t>
      </w:r>
    </w:p>
    <w:p w:rsidR="00D73348" w:rsidRDefault="00D73348" w:rsidP="00D73348">
      <w:pPr>
        <w:pStyle w:val="Cabealho"/>
        <w:jc w:val="center"/>
        <w:rPr>
          <w:rFonts w:ascii="Arial" w:hAnsi="Arial" w:cs="Arial"/>
          <w:b/>
          <w:sz w:val="20"/>
        </w:rPr>
      </w:pPr>
    </w:p>
    <w:p w:rsidR="00D73348" w:rsidRDefault="00D73348" w:rsidP="00D73348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D73348" w:rsidRDefault="00D73348" w:rsidP="00D73348">
      <w:pPr>
        <w:rPr>
          <w:rFonts w:ascii="Arial" w:hAnsi="Arial" w:cs="Arial"/>
          <w:sz w:val="20"/>
          <w:szCs w:val="20"/>
        </w:rPr>
      </w:pPr>
    </w:p>
    <w:p w:rsidR="00D73348" w:rsidRDefault="00D73348" w:rsidP="00D73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Procuradoria, para parecer prévio, o Projeto de Lei do Legislativo em epígrafe, que </w:t>
      </w:r>
      <w:r>
        <w:rPr>
          <w:rFonts w:ascii="Arial" w:hAnsi="Arial" w:cs="Arial"/>
          <w:sz w:val="20"/>
          <w:szCs w:val="20"/>
        </w:rPr>
        <w:t xml:space="preserve">institui a Política de </w:t>
      </w:r>
      <w:r w:rsidR="00F423F2">
        <w:rPr>
          <w:rFonts w:ascii="Arial" w:hAnsi="Arial" w:cs="Arial"/>
          <w:sz w:val="20"/>
          <w:szCs w:val="20"/>
        </w:rPr>
        <w:t>Transparência na</w:t>
      </w:r>
      <w:r>
        <w:rPr>
          <w:rFonts w:ascii="Arial" w:hAnsi="Arial" w:cs="Arial"/>
          <w:sz w:val="20"/>
          <w:szCs w:val="20"/>
        </w:rPr>
        <w:t xml:space="preserve"> cobrança do Imposto Sobre a Propriedade Predial e Territorial Urbana – IPTU – no Município de Porto Alegre</w:t>
      </w:r>
      <w:r>
        <w:rPr>
          <w:rFonts w:ascii="Arial" w:hAnsi="Arial" w:cs="Arial"/>
          <w:sz w:val="20"/>
          <w:szCs w:val="20"/>
        </w:rPr>
        <w:t>.</w:t>
      </w:r>
    </w:p>
    <w:p w:rsidR="00D73348" w:rsidRDefault="00D73348" w:rsidP="00D73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Constituição da República, no artigo 30, inciso I, dispõe competir aos Municípios legislar sobre assuntos de interesse local.</w:t>
      </w:r>
    </w:p>
    <w:p w:rsidR="00D73348" w:rsidRDefault="00D73348" w:rsidP="00D73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par disso, estatui que a Administração Pública fica sujeita aos princípios da impessoalidade e publicidade, dentre outros, e que a publicidade dos atos, programas, obras e serviços dos órgãos públicos deverá caráter educativo, informativo ou de orientação social (art. 37, </w:t>
      </w:r>
      <w:r>
        <w:rPr>
          <w:rFonts w:ascii="Arial" w:hAnsi="Arial" w:cs="Arial"/>
          <w:i/>
          <w:sz w:val="20"/>
          <w:szCs w:val="20"/>
        </w:rPr>
        <w:t>caput,</w:t>
      </w:r>
      <w:r>
        <w:rPr>
          <w:rFonts w:ascii="Arial" w:hAnsi="Arial" w:cs="Arial"/>
          <w:sz w:val="20"/>
          <w:szCs w:val="20"/>
        </w:rPr>
        <w:t xml:space="preserve"> e § 1º). </w:t>
      </w:r>
    </w:p>
    <w:p w:rsidR="00D73348" w:rsidRDefault="00D73348" w:rsidP="00D7334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 Constituição do Estado do RGS, no artigo 13, inciso I, declara a competência do Município para exercer o poder de polícia administrativa nas matérias de interesse local.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D73348" w:rsidRDefault="00D73348" w:rsidP="00D73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 Lei Orgânica determina a competência do Município para prover tudo quanto concerne ao interesse local e para estabelecer suas leis, decretos e atos relativos aos assuntos de interesse local, repisa o preceito constitucional do artigo 37, no que tange à obrigatoriedade de observância do princípio da publicidade, e declara que a transparência pública dos atos constitui compromisso fundamental da administração (artigos 6º, inciso I, 9º, incisos II e III, e 17).</w:t>
      </w:r>
    </w:p>
    <w:p w:rsidR="00D73348" w:rsidRDefault="00D73348" w:rsidP="00D73348">
      <w:pPr>
        <w:pStyle w:val="Recuodecorpodetexto"/>
        <w:spacing w:after="0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 matéria objeto da proposição se insere no âmbito de competência municipal, inexistindo óbice jurídico à tra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itação</w:t>
      </w:r>
      <w:r>
        <w:rPr>
          <w:rFonts w:ascii="Arial" w:hAnsi="Arial" w:cs="Arial"/>
          <w:sz w:val="20"/>
        </w:rPr>
        <w:t>, sob tal enfoque</w:t>
      </w:r>
      <w:r>
        <w:rPr>
          <w:rFonts w:ascii="Arial" w:hAnsi="Arial" w:cs="Arial"/>
          <w:sz w:val="20"/>
        </w:rPr>
        <w:t>.</w:t>
      </w:r>
    </w:p>
    <w:p w:rsidR="00D73348" w:rsidRPr="00D73348" w:rsidRDefault="00D73348" w:rsidP="00D73348">
      <w:pPr>
        <w:pStyle w:val="Recuodecorpodetexto"/>
        <w:spacing w:after="0"/>
        <w:ind w:left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 xml:space="preserve">Ressalvo, contudo, que o conteúdo normativo do </w:t>
      </w:r>
      <w:r>
        <w:rPr>
          <w:rFonts w:ascii="Arial" w:hAnsi="Arial" w:cs="Arial"/>
          <w:i/>
          <w:sz w:val="20"/>
        </w:rPr>
        <w:t xml:space="preserve">caput </w:t>
      </w:r>
      <w:r w:rsidRPr="00D73348">
        <w:rPr>
          <w:rFonts w:ascii="Arial" w:hAnsi="Arial" w:cs="Arial"/>
          <w:sz w:val="20"/>
        </w:rPr>
        <w:t>de seu artigo 2º</w:t>
      </w:r>
      <w:r>
        <w:rPr>
          <w:rFonts w:ascii="Arial" w:hAnsi="Arial" w:cs="Arial"/>
          <w:sz w:val="20"/>
        </w:rPr>
        <w:t>, porque define forma de atuação administrativa, vênia concedida, incide em violação ao preceito do artigo 94, inciso IV, da Lei Orgânica.</w:t>
      </w:r>
    </w:p>
    <w:p w:rsidR="00D73348" w:rsidRDefault="00D73348" w:rsidP="00D73348">
      <w:pPr>
        <w:pStyle w:val="Recuode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É o parecer, </w:t>
      </w:r>
      <w:r>
        <w:rPr>
          <w:rFonts w:ascii="Arial" w:hAnsi="Arial" w:cs="Arial"/>
          <w:i/>
          <w:sz w:val="20"/>
        </w:rPr>
        <w:t>sub censura</w:t>
      </w:r>
      <w:r>
        <w:rPr>
          <w:rFonts w:ascii="Arial" w:hAnsi="Arial" w:cs="Arial"/>
          <w:sz w:val="20"/>
        </w:rPr>
        <w:t>.</w:t>
      </w:r>
    </w:p>
    <w:p w:rsidR="00D73348" w:rsidRDefault="00D73348" w:rsidP="00D73348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D73348" w:rsidRDefault="00D73348" w:rsidP="00D73348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Legislativa, para os devidos fins.</w:t>
      </w:r>
    </w:p>
    <w:p w:rsidR="00D73348" w:rsidRDefault="00D73348" w:rsidP="00D733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2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novembro </w:t>
      </w:r>
      <w:r>
        <w:rPr>
          <w:rFonts w:ascii="Arial" w:hAnsi="Arial" w:cs="Arial"/>
          <w:sz w:val="20"/>
          <w:szCs w:val="20"/>
        </w:rPr>
        <w:t>de 2017.</w:t>
      </w:r>
    </w:p>
    <w:p w:rsidR="00D73348" w:rsidRDefault="00D73348" w:rsidP="00D73348">
      <w:pPr>
        <w:rPr>
          <w:rFonts w:ascii="Arial" w:hAnsi="Arial" w:cs="Arial"/>
          <w:sz w:val="20"/>
          <w:szCs w:val="20"/>
        </w:rPr>
      </w:pPr>
    </w:p>
    <w:p w:rsidR="00D73348" w:rsidRDefault="00D73348" w:rsidP="00D73348">
      <w:pPr>
        <w:rPr>
          <w:rFonts w:ascii="Arial" w:hAnsi="Arial" w:cs="Arial"/>
          <w:sz w:val="20"/>
          <w:szCs w:val="20"/>
        </w:rPr>
      </w:pPr>
    </w:p>
    <w:p w:rsidR="00D73348" w:rsidRDefault="00D73348" w:rsidP="00D73348">
      <w:pPr>
        <w:rPr>
          <w:rFonts w:ascii="Arial" w:hAnsi="Arial" w:cs="Arial"/>
          <w:sz w:val="20"/>
          <w:szCs w:val="20"/>
        </w:rPr>
      </w:pPr>
    </w:p>
    <w:p w:rsidR="00D73348" w:rsidRDefault="00D73348" w:rsidP="00D73348">
      <w:pPr>
        <w:rPr>
          <w:rFonts w:ascii="Arial" w:hAnsi="Arial" w:cs="Arial"/>
          <w:sz w:val="20"/>
          <w:szCs w:val="20"/>
        </w:rPr>
      </w:pPr>
    </w:p>
    <w:p w:rsidR="00D73348" w:rsidRDefault="00D73348" w:rsidP="00D733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D73348" w:rsidRDefault="00D73348" w:rsidP="00D7334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Procurador-Geral –OAB/RS 18.594</w:t>
      </w:r>
    </w:p>
    <w:p w:rsidR="00D73348" w:rsidRDefault="00D73348" w:rsidP="00D73348">
      <w:pPr>
        <w:rPr>
          <w:rFonts w:ascii="Arial" w:hAnsi="Arial" w:cs="Arial"/>
        </w:rPr>
      </w:pPr>
    </w:p>
    <w:p w:rsidR="00D73348" w:rsidRDefault="00D73348" w:rsidP="00D73348">
      <w:pPr>
        <w:rPr>
          <w:rFonts w:ascii="Arial" w:hAnsi="Arial" w:cs="Arial"/>
        </w:rPr>
      </w:pPr>
    </w:p>
    <w:p w:rsidR="00D73348" w:rsidRDefault="00D73348" w:rsidP="00D73348">
      <w:pPr>
        <w:pStyle w:val="Cabealho"/>
        <w:tabs>
          <w:tab w:val="left" w:pos="708"/>
        </w:tabs>
        <w:rPr>
          <w:rFonts w:ascii="Arial" w:hAnsi="Arial" w:cs="Arial"/>
          <w:szCs w:val="24"/>
        </w:rPr>
      </w:pPr>
    </w:p>
    <w:p w:rsidR="00D73348" w:rsidRDefault="00D73348" w:rsidP="00D73348">
      <w:pPr>
        <w:rPr>
          <w:rFonts w:ascii="Arial" w:hAnsi="Arial" w:cs="Arial"/>
        </w:rPr>
      </w:pPr>
    </w:p>
    <w:p w:rsidR="00D73348" w:rsidRDefault="00D73348" w:rsidP="00D73348">
      <w:pPr>
        <w:rPr>
          <w:rFonts w:ascii="Arial" w:hAnsi="Arial" w:cs="Arial"/>
        </w:rPr>
      </w:pPr>
    </w:p>
    <w:p w:rsidR="00D73348" w:rsidRDefault="00D73348" w:rsidP="00D73348"/>
    <w:p w:rsidR="00083805" w:rsidRDefault="00D30C73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48"/>
    <w:rsid w:val="00134B5B"/>
    <w:rsid w:val="005A31E7"/>
    <w:rsid w:val="006438AB"/>
    <w:rsid w:val="00AD37E5"/>
    <w:rsid w:val="00D30C73"/>
    <w:rsid w:val="00D73348"/>
    <w:rsid w:val="00F06EF0"/>
    <w:rsid w:val="00F4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F8DE0-1C18-4165-BD1C-DCD5EA1D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3348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334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D73348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7334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73348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7334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2017-11-23T17:00:00Z</dcterms:created>
  <dcterms:modified xsi:type="dcterms:W3CDTF">2017-11-23T17:07:00Z</dcterms:modified>
</cp:coreProperties>
</file>