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48" w:rsidRDefault="00D73348" w:rsidP="00D73348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D73348" w:rsidRDefault="00D73348" w:rsidP="00D73348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D73348" w:rsidRDefault="00D73348" w:rsidP="00D73348">
      <w:pPr>
        <w:pStyle w:val="Ttulo1"/>
        <w:ind w:left="708" w:firstLine="708"/>
        <w:rPr>
          <w:rFonts w:ascii="Arial" w:hAnsi="Arial" w:cs="Arial"/>
          <w:b w:val="0"/>
          <w:sz w:val="20"/>
        </w:rPr>
      </w:pPr>
    </w:p>
    <w:p w:rsidR="00D73348" w:rsidRDefault="00D73348" w:rsidP="00D73348">
      <w:pPr>
        <w:pStyle w:val="Ttulo1"/>
        <w:ind w:left="708" w:hanging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 w:rsidR="00F423F2">
        <w:rPr>
          <w:rFonts w:ascii="Arial" w:hAnsi="Arial" w:cs="Arial"/>
          <w:sz w:val="20"/>
        </w:rPr>
        <w:t xml:space="preserve"> 768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D73348" w:rsidRDefault="00D73348" w:rsidP="00D73348">
      <w:pPr>
        <w:rPr>
          <w:rFonts w:ascii="Arial" w:hAnsi="Arial" w:cs="Arial"/>
          <w:sz w:val="20"/>
          <w:szCs w:val="20"/>
        </w:rPr>
      </w:pPr>
    </w:p>
    <w:p w:rsidR="00D73348" w:rsidRDefault="00D73348" w:rsidP="00D73348">
      <w:pPr>
        <w:ind w:left="4536"/>
        <w:rPr>
          <w:rFonts w:ascii="Arial" w:hAnsi="Arial" w:cs="Arial"/>
          <w:b/>
          <w:sz w:val="20"/>
          <w:szCs w:val="20"/>
        </w:rPr>
      </w:pPr>
    </w:p>
    <w:p w:rsidR="00D73348" w:rsidRDefault="00D73348" w:rsidP="00D73348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2762</w:t>
      </w:r>
      <w:r>
        <w:rPr>
          <w:rFonts w:ascii="Arial" w:hAnsi="Arial" w:cs="Arial"/>
          <w:b/>
          <w:sz w:val="20"/>
          <w:szCs w:val="20"/>
        </w:rPr>
        <w:t>/17.</w:t>
      </w:r>
    </w:p>
    <w:p w:rsidR="00D73348" w:rsidRDefault="00D73348" w:rsidP="00D73348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305</w:t>
      </w:r>
      <w:r>
        <w:rPr>
          <w:rFonts w:ascii="Arial" w:hAnsi="Arial" w:cs="Arial"/>
          <w:b/>
          <w:sz w:val="20"/>
          <w:szCs w:val="20"/>
        </w:rPr>
        <w:t>/17.</w:t>
      </w:r>
    </w:p>
    <w:p w:rsidR="00D73348" w:rsidRDefault="00D73348" w:rsidP="00D73348">
      <w:pPr>
        <w:pStyle w:val="Cabealho"/>
        <w:jc w:val="center"/>
        <w:rPr>
          <w:rFonts w:ascii="Arial" w:hAnsi="Arial" w:cs="Arial"/>
          <w:b/>
          <w:sz w:val="20"/>
        </w:rPr>
      </w:pPr>
    </w:p>
    <w:p w:rsidR="00D73348" w:rsidRDefault="00D73348" w:rsidP="00D73348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D73348" w:rsidRDefault="00D73348" w:rsidP="00D73348">
      <w:pPr>
        <w:rPr>
          <w:rFonts w:ascii="Arial" w:hAnsi="Arial" w:cs="Arial"/>
          <w:sz w:val="20"/>
          <w:szCs w:val="20"/>
        </w:rPr>
      </w:pPr>
    </w:p>
    <w:p w:rsidR="00D73348" w:rsidRDefault="00D73348" w:rsidP="00D733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Procuradoria, para parecer prévio, o Projeto de Lei do Legislativo em epígrafe, que </w:t>
      </w:r>
      <w:r>
        <w:rPr>
          <w:rFonts w:ascii="Arial" w:hAnsi="Arial" w:cs="Arial"/>
          <w:sz w:val="20"/>
          <w:szCs w:val="20"/>
        </w:rPr>
        <w:t xml:space="preserve">institui a Política de </w:t>
      </w:r>
      <w:r w:rsidR="00F423F2">
        <w:rPr>
          <w:rFonts w:ascii="Arial" w:hAnsi="Arial" w:cs="Arial"/>
          <w:sz w:val="20"/>
          <w:szCs w:val="20"/>
        </w:rPr>
        <w:t>Transparência na</w:t>
      </w:r>
      <w:r>
        <w:rPr>
          <w:rFonts w:ascii="Arial" w:hAnsi="Arial" w:cs="Arial"/>
          <w:sz w:val="20"/>
          <w:szCs w:val="20"/>
        </w:rPr>
        <w:t xml:space="preserve"> cobrança do Imposto Sobre a Propriedade Predial e Territorial Urbana – IPTU – no Município de Porto Alegre</w:t>
      </w:r>
      <w:r>
        <w:rPr>
          <w:rFonts w:ascii="Arial" w:hAnsi="Arial" w:cs="Arial"/>
          <w:sz w:val="20"/>
          <w:szCs w:val="20"/>
        </w:rPr>
        <w:t>.</w:t>
      </w:r>
    </w:p>
    <w:p w:rsidR="00D73348" w:rsidRDefault="00D73348" w:rsidP="00D733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Constituição da República, no artigo 30, inciso I, dispõe competir aos Municípios legislar sobre assuntos de interesse local.</w:t>
      </w:r>
    </w:p>
    <w:p w:rsidR="00D73348" w:rsidRDefault="00D73348" w:rsidP="00D733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par disso, estatui que a Administração Pública fica sujeita aos princípios da impessoalidade e publicidade, dentre outros, e que a publicidade dos atos, programas, obras e serviços dos órgãos públicos deverá caráter educativo, informativo ou de orientação social (art. 37, </w:t>
      </w:r>
      <w:r>
        <w:rPr>
          <w:rFonts w:ascii="Arial" w:hAnsi="Arial" w:cs="Arial"/>
          <w:i/>
          <w:sz w:val="20"/>
          <w:szCs w:val="20"/>
        </w:rPr>
        <w:t>caput,</w:t>
      </w:r>
      <w:r>
        <w:rPr>
          <w:rFonts w:ascii="Arial" w:hAnsi="Arial" w:cs="Arial"/>
          <w:sz w:val="20"/>
          <w:szCs w:val="20"/>
        </w:rPr>
        <w:t xml:space="preserve"> e § 1º). </w:t>
      </w:r>
    </w:p>
    <w:p w:rsidR="00D73348" w:rsidRDefault="00D73348" w:rsidP="00D7334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 Constituição do Estado do RGS, no artigo 13, inciso I, declara a competência do Município para exercer o poder de polícia administrativa nas matérias de interesse local.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D73348" w:rsidRDefault="00D73348" w:rsidP="00D733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  <w:t>A Lei Orgânica determina a competência do Município para prover tudo quanto concerne ao interesse local e para estabelecer suas leis, decretos e atos relativos aos assuntos de interesse local, repisa o preceito constitucional do artigo 37, no que tange à obrigatoriedade de observância do princípio da publicidade, e declara que a transparência pública dos atos constitui compromisso fundamental da administração (artigos 6º, inciso I, 9º, incisos II e III, e 17).</w:t>
      </w:r>
    </w:p>
    <w:p w:rsidR="00D73348" w:rsidRDefault="00D73348" w:rsidP="00D73348">
      <w:pPr>
        <w:pStyle w:val="Recuodecorpodetexto"/>
        <w:spacing w:after="0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 matéria objeto da proposição se insere no âmbito de competência municipal, inexistindo óbice jurídico à tra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>itação</w:t>
      </w:r>
      <w:r>
        <w:rPr>
          <w:rFonts w:ascii="Arial" w:hAnsi="Arial" w:cs="Arial"/>
          <w:sz w:val="20"/>
        </w:rPr>
        <w:t>, sob tal enfoque</w:t>
      </w:r>
      <w:r>
        <w:rPr>
          <w:rFonts w:ascii="Arial" w:hAnsi="Arial" w:cs="Arial"/>
          <w:sz w:val="20"/>
        </w:rPr>
        <w:t>.</w:t>
      </w:r>
    </w:p>
    <w:p w:rsidR="00D73348" w:rsidRPr="00D73348" w:rsidRDefault="00D73348" w:rsidP="00D73348">
      <w:pPr>
        <w:pStyle w:val="Recuodecorpodetexto"/>
        <w:spacing w:after="0"/>
        <w:ind w:left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  <w:t xml:space="preserve">Ressalvo, contudo, que o conteúdo normativo do </w:t>
      </w:r>
      <w:r>
        <w:rPr>
          <w:rFonts w:ascii="Arial" w:hAnsi="Arial" w:cs="Arial"/>
          <w:i/>
          <w:sz w:val="20"/>
        </w:rPr>
        <w:t xml:space="preserve">caput </w:t>
      </w:r>
      <w:r w:rsidRPr="00D73348">
        <w:rPr>
          <w:rFonts w:ascii="Arial" w:hAnsi="Arial" w:cs="Arial"/>
          <w:sz w:val="20"/>
        </w:rPr>
        <w:t>de seu artigo 2º</w:t>
      </w:r>
      <w:r>
        <w:rPr>
          <w:rFonts w:ascii="Arial" w:hAnsi="Arial" w:cs="Arial"/>
          <w:sz w:val="20"/>
        </w:rPr>
        <w:t>, porque define forma de atuação administrativa, vênia concedida, incide em violação ao preceito do artigo 94, inciso IV, da Lei Orgânica.</w:t>
      </w:r>
    </w:p>
    <w:p w:rsidR="00D73348" w:rsidRDefault="00D73348" w:rsidP="00D73348">
      <w:pPr>
        <w:pStyle w:val="Recuode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É o parecer, </w:t>
      </w:r>
      <w:r>
        <w:rPr>
          <w:rFonts w:ascii="Arial" w:hAnsi="Arial" w:cs="Arial"/>
          <w:i/>
          <w:sz w:val="20"/>
        </w:rPr>
        <w:t>sub censura</w:t>
      </w:r>
      <w:r>
        <w:rPr>
          <w:rFonts w:ascii="Arial" w:hAnsi="Arial" w:cs="Arial"/>
          <w:sz w:val="20"/>
        </w:rPr>
        <w:t>.</w:t>
      </w:r>
    </w:p>
    <w:p w:rsidR="00D73348" w:rsidRDefault="00D73348" w:rsidP="00D73348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D73348" w:rsidRDefault="00D73348" w:rsidP="00D73348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os devidos fins.</w:t>
      </w:r>
    </w:p>
    <w:p w:rsidR="00D73348" w:rsidRDefault="00D73348" w:rsidP="00D733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2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novembro </w:t>
      </w:r>
      <w:r>
        <w:rPr>
          <w:rFonts w:ascii="Arial" w:hAnsi="Arial" w:cs="Arial"/>
          <w:sz w:val="20"/>
          <w:szCs w:val="20"/>
        </w:rPr>
        <w:t>de 2017.</w:t>
      </w:r>
    </w:p>
    <w:p w:rsidR="00D73348" w:rsidRDefault="00D73348" w:rsidP="00D73348">
      <w:pPr>
        <w:rPr>
          <w:rFonts w:ascii="Arial" w:hAnsi="Arial" w:cs="Arial"/>
          <w:sz w:val="20"/>
          <w:szCs w:val="20"/>
        </w:rPr>
      </w:pPr>
    </w:p>
    <w:p w:rsidR="00D73348" w:rsidRDefault="00D73348" w:rsidP="00D73348">
      <w:pPr>
        <w:rPr>
          <w:rFonts w:ascii="Arial" w:hAnsi="Arial" w:cs="Arial"/>
          <w:sz w:val="20"/>
          <w:szCs w:val="20"/>
        </w:rPr>
      </w:pPr>
    </w:p>
    <w:p w:rsidR="00D73348" w:rsidRDefault="00D73348" w:rsidP="00D73348">
      <w:pPr>
        <w:rPr>
          <w:rFonts w:ascii="Arial" w:hAnsi="Arial" w:cs="Arial"/>
          <w:sz w:val="20"/>
          <w:szCs w:val="20"/>
        </w:rPr>
      </w:pPr>
    </w:p>
    <w:p w:rsidR="00D73348" w:rsidRDefault="00D73348" w:rsidP="00D73348">
      <w:pPr>
        <w:rPr>
          <w:rFonts w:ascii="Arial" w:hAnsi="Arial" w:cs="Arial"/>
          <w:sz w:val="20"/>
          <w:szCs w:val="20"/>
        </w:rPr>
      </w:pPr>
    </w:p>
    <w:p w:rsidR="00D73348" w:rsidRDefault="00D73348" w:rsidP="00D733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D73348" w:rsidRDefault="00D73348" w:rsidP="00D7334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Procurador-Geral –OAB/RS 18.594</w:t>
      </w:r>
    </w:p>
    <w:p w:rsidR="00D73348" w:rsidRDefault="00D73348" w:rsidP="00D73348">
      <w:pPr>
        <w:rPr>
          <w:rFonts w:ascii="Arial" w:hAnsi="Arial" w:cs="Arial"/>
        </w:rPr>
      </w:pPr>
    </w:p>
    <w:p w:rsidR="00D73348" w:rsidRDefault="00D73348" w:rsidP="00D73348">
      <w:pPr>
        <w:rPr>
          <w:rFonts w:ascii="Arial" w:hAnsi="Arial" w:cs="Arial"/>
        </w:rPr>
      </w:pPr>
    </w:p>
    <w:p w:rsidR="00D73348" w:rsidRDefault="00D73348" w:rsidP="00D73348">
      <w:pPr>
        <w:pStyle w:val="Cabealho"/>
        <w:tabs>
          <w:tab w:val="left" w:pos="708"/>
        </w:tabs>
        <w:rPr>
          <w:rFonts w:ascii="Arial" w:hAnsi="Arial" w:cs="Arial"/>
          <w:szCs w:val="24"/>
        </w:rPr>
      </w:pPr>
    </w:p>
    <w:p w:rsidR="00D73348" w:rsidRDefault="00D73348" w:rsidP="00D73348">
      <w:pPr>
        <w:rPr>
          <w:rFonts w:ascii="Arial" w:hAnsi="Arial" w:cs="Arial"/>
        </w:rPr>
      </w:pPr>
    </w:p>
    <w:p w:rsidR="00D73348" w:rsidRDefault="00D73348" w:rsidP="00D73348">
      <w:pPr>
        <w:rPr>
          <w:rFonts w:ascii="Arial" w:hAnsi="Arial" w:cs="Arial"/>
        </w:rPr>
      </w:pPr>
    </w:p>
    <w:p w:rsidR="00D73348" w:rsidRDefault="00D73348" w:rsidP="00D73348"/>
    <w:p w:rsidR="00083805" w:rsidRDefault="00D30C73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48"/>
    <w:rsid w:val="00134B5B"/>
    <w:rsid w:val="005A31E7"/>
    <w:rsid w:val="006438AB"/>
    <w:rsid w:val="00AD37E5"/>
    <w:rsid w:val="00D30C73"/>
    <w:rsid w:val="00D73348"/>
    <w:rsid w:val="00F06EF0"/>
    <w:rsid w:val="00F4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F8DE0-1C18-4165-BD1C-DCD5EA1D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3348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334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D73348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7334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3348"/>
    <w:pPr>
      <w:overflowPunct w:val="0"/>
      <w:autoSpaceDE w:val="0"/>
      <w:autoSpaceDN w:val="0"/>
      <w:adjustRightInd w:val="0"/>
      <w:spacing w:after="120"/>
      <w:ind w:left="283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334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2017-11-23T17:00:00Z</dcterms:created>
  <dcterms:modified xsi:type="dcterms:W3CDTF">2017-11-23T17:07:00Z</dcterms:modified>
</cp:coreProperties>
</file>