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8A" w:rsidRDefault="00A7198A" w:rsidP="00A7198A">
      <w:pPr>
        <w:pStyle w:val="Cabealho"/>
        <w:jc w:val="center"/>
        <w:rPr>
          <w:rFonts w:ascii="Arial" w:hAnsi="Arial" w:cs="Arial"/>
          <w:b/>
          <w:sz w:val="20"/>
        </w:rPr>
      </w:pPr>
      <w:r>
        <w:rPr>
          <w:rFonts w:ascii="Arial" w:hAnsi="Arial" w:cs="Arial"/>
          <w:b/>
          <w:sz w:val="20"/>
        </w:rPr>
        <w:t>CÂMARA MUNICIPAL DE PORTO ALEGRE</w:t>
      </w:r>
    </w:p>
    <w:p w:rsidR="00A7198A" w:rsidRDefault="00A7198A" w:rsidP="00A7198A">
      <w:pPr>
        <w:pStyle w:val="Cabealho"/>
        <w:jc w:val="center"/>
        <w:rPr>
          <w:rFonts w:ascii="Arial" w:hAnsi="Arial" w:cs="Arial"/>
          <w:sz w:val="20"/>
        </w:rPr>
      </w:pPr>
      <w:r>
        <w:rPr>
          <w:rFonts w:ascii="Arial" w:hAnsi="Arial" w:cs="Arial"/>
          <w:b/>
          <w:sz w:val="20"/>
        </w:rPr>
        <w:t>PROCURADORIA</w:t>
      </w:r>
    </w:p>
    <w:p w:rsidR="00A7198A" w:rsidRDefault="00A7198A" w:rsidP="00A7198A">
      <w:pPr>
        <w:rPr>
          <w:rFonts w:ascii="Arial" w:hAnsi="Arial" w:cs="Arial"/>
          <w:sz w:val="20"/>
          <w:szCs w:val="20"/>
        </w:rPr>
      </w:pPr>
    </w:p>
    <w:p w:rsidR="00A7198A" w:rsidRDefault="00A7198A" w:rsidP="00A7198A">
      <w:pPr>
        <w:rPr>
          <w:rFonts w:ascii="Arial" w:hAnsi="Arial" w:cs="Arial"/>
          <w:sz w:val="20"/>
          <w:szCs w:val="20"/>
        </w:rPr>
      </w:pPr>
    </w:p>
    <w:p w:rsidR="00A7198A" w:rsidRDefault="00A7198A" w:rsidP="00A7198A">
      <w:pPr>
        <w:pStyle w:val="Ttulo1"/>
        <w:rPr>
          <w:rFonts w:ascii="Arial" w:hAnsi="Arial" w:cs="Arial"/>
          <w:sz w:val="20"/>
        </w:rPr>
      </w:pPr>
      <w:r>
        <w:rPr>
          <w:rFonts w:ascii="Arial" w:hAnsi="Arial" w:cs="Arial"/>
          <w:sz w:val="20"/>
        </w:rPr>
        <w:t xml:space="preserve">PARECER Nº </w:t>
      </w:r>
      <w:r w:rsidR="004375DB">
        <w:rPr>
          <w:rFonts w:ascii="Arial" w:hAnsi="Arial" w:cs="Arial"/>
          <w:sz w:val="20"/>
        </w:rPr>
        <w:t>796</w:t>
      </w:r>
      <w:bookmarkStart w:id="0" w:name="_GoBack"/>
      <w:bookmarkEnd w:id="0"/>
      <w:r>
        <w:rPr>
          <w:rFonts w:ascii="Arial" w:hAnsi="Arial" w:cs="Arial"/>
          <w:sz w:val="20"/>
        </w:rPr>
        <w:t>/17.</w:t>
      </w:r>
    </w:p>
    <w:p w:rsidR="00A7198A" w:rsidRDefault="00A7198A" w:rsidP="00A7198A">
      <w:pPr>
        <w:rPr>
          <w:rFonts w:ascii="Arial" w:hAnsi="Arial" w:cs="Arial"/>
          <w:sz w:val="20"/>
          <w:szCs w:val="20"/>
        </w:rPr>
      </w:pPr>
    </w:p>
    <w:p w:rsidR="00A7198A" w:rsidRDefault="00A7198A" w:rsidP="00A7198A">
      <w:pPr>
        <w:ind w:left="4536" w:hanging="4536"/>
        <w:rPr>
          <w:rFonts w:ascii="Arial" w:hAnsi="Arial" w:cs="Arial"/>
          <w:b/>
          <w:sz w:val="20"/>
          <w:szCs w:val="20"/>
        </w:rPr>
      </w:pPr>
    </w:p>
    <w:p w:rsidR="00A7198A" w:rsidRDefault="00A7198A" w:rsidP="00A7198A">
      <w:pPr>
        <w:ind w:left="4536" w:hanging="4536"/>
        <w:rPr>
          <w:rFonts w:ascii="Arial" w:hAnsi="Arial" w:cs="Arial"/>
          <w:b/>
          <w:sz w:val="20"/>
          <w:szCs w:val="20"/>
        </w:rPr>
      </w:pPr>
      <w:r>
        <w:rPr>
          <w:rFonts w:ascii="Arial" w:hAnsi="Arial" w:cs="Arial"/>
          <w:b/>
          <w:sz w:val="20"/>
          <w:szCs w:val="20"/>
        </w:rPr>
        <w:tab/>
        <w:t>PROCESSO Nº 3051/17.</w:t>
      </w:r>
    </w:p>
    <w:p w:rsidR="00A7198A" w:rsidRDefault="00A7198A" w:rsidP="00A7198A">
      <w:pPr>
        <w:ind w:left="4536" w:hanging="4536"/>
        <w:rPr>
          <w:rFonts w:ascii="Arial" w:hAnsi="Arial" w:cs="Arial"/>
          <w:b/>
          <w:sz w:val="20"/>
          <w:szCs w:val="20"/>
        </w:rPr>
      </w:pPr>
      <w:r>
        <w:rPr>
          <w:rFonts w:ascii="Arial" w:hAnsi="Arial" w:cs="Arial"/>
          <w:b/>
          <w:sz w:val="20"/>
          <w:szCs w:val="20"/>
        </w:rPr>
        <w:tab/>
        <w:t>PLE Nº 25/17.</w:t>
      </w:r>
    </w:p>
    <w:p w:rsidR="00A7198A" w:rsidRDefault="00A7198A" w:rsidP="00A7198A">
      <w:pPr>
        <w:ind w:firstLine="708"/>
        <w:jc w:val="both"/>
        <w:rPr>
          <w:rFonts w:ascii="Arial" w:hAnsi="Arial" w:cs="Arial"/>
          <w:sz w:val="20"/>
          <w:szCs w:val="20"/>
        </w:rPr>
      </w:pPr>
    </w:p>
    <w:p w:rsidR="00A7198A" w:rsidRDefault="00A7198A" w:rsidP="00A7198A">
      <w:pPr>
        <w:ind w:firstLine="708"/>
        <w:jc w:val="both"/>
        <w:rPr>
          <w:rFonts w:ascii="Arial" w:hAnsi="Arial" w:cs="Arial"/>
          <w:sz w:val="20"/>
          <w:szCs w:val="20"/>
        </w:rPr>
      </w:pPr>
    </w:p>
    <w:p w:rsidR="00A7198A" w:rsidRDefault="00A7198A" w:rsidP="00A7198A">
      <w:pPr>
        <w:ind w:firstLine="708"/>
        <w:jc w:val="both"/>
        <w:rPr>
          <w:rFonts w:ascii="Arial" w:hAnsi="Arial" w:cs="Arial"/>
          <w:sz w:val="20"/>
          <w:szCs w:val="20"/>
        </w:rPr>
      </w:pPr>
      <w:r>
        <w:rPr>
          <w:rFonts w:ascii="Arial" w:hAnsi="Arial" w:cs="Arial"/>
          <w:sz w:val="20"/>
          <w:szCs w:val="20"/>
        </w:rPr>
        <w:t xml:space="preserve">É submetido a exame desta Procuradoria, para parecer prévio, o Projeto de Lei do Executivo em epígrafe, que autoriza permissão de uso do Complexo do Porto Seco às entidades representativas das agremiações carnavalescas participantes do Carnaval de Porto Alegre, bem como autoriza o Poder Executivos a conceder a exploração de tal </w:t>
      </w:r>
      <w:r w:rsidR="00C97E65">
        <w:rPr>
          <w:rFonts w:ascii="Arial" w:hAnsi="Arial" w:cs="Arial"/>
          <w:sz w:val="20"/>
          <w:szCs w:val="20"/>
        </w:rPr>
        <w:t>Complexo para</w:t>
      </w:r>
      <w:r>
        <w:rPr>
          <w:rFonts w:ascii="Arial" w:hAnsi="Arial" w:cs="Arial"/>
          <w:sz w:val="20"/>
          <w:szCs w:val="20"/>
        </w:rPr>
        <w:t xml:space="preserve"> fins de implantação das estruturas permanentes do Carnaval. </w:t>
      </w:r>
    </w:p>
    <w:p w:rsidR="00A7198A" w:rsidRDefault="00A7198A" w:rsidP="00A7198A">
      <w:pPr>
        <w:jc w:val="both"/>
        <w:rPr>
          <w:rFonts w:ascii="Arial" w:hAnsi="Arial" w:cs="Arial"/>
          <w:sz w:val="20"/>
          <w:szCs w:val="20"/>
        </w:rPr>
      </w:pPr>
      <w:r>
        <w:rPr>
          <w:rFonts w:ascii="Arial" w:hAnsi="Arial" w:cs="Arial"/>
          <w:sz w:val="20"/>
          <w:szCs w:val="20"/>
        </w:rPr>
        <w:tab/>
        <w:t>Consoante dispõe a Carta Magna, compete aos Municípios legislar sobre assuntos de interesse local e promover adequado ordenamento territorial, mediante planejamento e controle do uso e da ocupação do solo urbano (art. 30, incisos I e VIII).</w:t>
      </w:r>
    </w:p>
    <w:p w:rsidR="00A7198A" w:rsidRDefault="00A7198A" w:rsidP="00A7198A">
      <w:pPr>
        <w:pStyle w:val="Recuodecorpodetexto2"/>
        <w:ind w:firstLine="708"/>
        <w:rPr>
          <w:rFonts w:cs="Arial"/>
          <w:sz w:val="20"/>
        </w:rPr>
      </w:pPr>
      <w:r>
        <w:rPr>
          <w:rFonts w:cs="Arial"/>
          <w:sz w:val="20"/>
        </w:rPr>
        <w:t>A Constituição do Estado do RGS, no artigo 13, inciso IV, estatui ser da competência do Município dispor sobre autorização, permissão e concessão de uso dos bens públicos municipais.</w:t>
      </w:r>
    </w:p>
    <w:p w:rsidR="00A7198A" w:rsidRDefault="00A7198A" w:rsidP="00A7198A">
      <w:pPr>
        <w:pStyle w:val="Recuodecorpodetexto2"/>
        <w:ind w:firstLine="708"/>
        <w:rPr>
          <w:rFonts w:cs="Arial"/>
          <w:sz w:val="20"/>
        </w:rPr>
      </w:pPr>
      <w:r>
        <w:rPr>
          <w:rFonts w:cs="Arial"/>
          <w:sz w:val="20"/>
        </w:rPr>
        <w:t>A Lei Orgânica do Município de Porto Alegre declara a competência deste para prover tudo quanto concerne ao interesse local, para promover adequado ordenamento territorial, e para dispor sobre a administração, utilização e alienação de seus bens (artigos 8º, inciso VII, 9º, incisos II e IV).</w:t>
      </w:r>
    </w:p>
    <w:p w:rsidR="00A7198A" w:rsidRDefault="00A7198A" w:rsidP="00A7198A">
      <w:pPr>
        <w:ind w:firstLine="708"/>
        <w:jc w:val="both"/>
        <w:rPr>
          <w:rFonts w:ascii="Arial" w:hAnsi="Arial" w:cs="Arial"/>
          <w:sz w:val="20"/>
          <w:szCs w:val="20"/>
        </w:rPr>
      </w:pPr>
      <w:r>
        <w:rPr>
          <w:rFonts w:ascii="Arial" w:hAnsi="Arial" w:cs="Arial"/>
          <w:sz w:val="20"/>
          <w:szCs w:val="20"/>
        </w:rPr>
        <w:t>Prevê, ainda, no artigo 15, a utilização dos bens municipais por particulares, mediante concessão, permissão ou autorização, visando atender interesse público, coletivo ou social.</w:t>
      </w:r>
    </w:p>
    <w:p w:rsidR="00A7198A" w:rsidRDefault="00A7198A" w:rsidP="00A7198A">
      <w:pPr>
        <w:jc w:val="both"/>
        <w:rPr>
          <w:rFonts w:ascii="Arial" w:hAnsi="Arial" w:cs="Arial"/>
          <w:sz w:val="20"/>
          <w:szCs w:val="20"/>
        </w:rPr>
      </w:pPr>
      <w:r>
        <w:rPr>
          <w:rFonts w:ascii="Arial" w:hAnsi="Arial" w:cs="Arial"/>
          <w:sz w:val="20"/>
          <w:szCs w:val="20"/>
        </w:rPr>
        <w:tab/>
        <w:t>A matéria objeto da proposição se insere no âmbito de competência municipal, inexistindo óbice jurídico à tramitação.</w:t>
      </w:r>
    </w:p>
    <w:p w:rsidR="00A7198A" w:rsidRDefault="00A7198A" w:rsidP="00A7198A">
      <w:pPr>
        <w:jc w:val="both"/>
        <w:rPr>
          <w:rFonts w:ascii="Arial" w:hAnsi="Arial" w:cs="Arial"/>
          <w:sz w:val="20"/>
          <w:szCs w:val="20"/>
        </w:rPr>
      </w:pPr>
      <w:r>
        <w:rPr>
          <w:rFonts w:ascii="Arial" w:hAnsi="Arial" w:cs="Arial"/>
          <w:sz w:val="20"/>
          <w:szCs w:val="20"/>
        </w:rPr>
        <w:tab/>
        <w:t xml:space="preserve">É o parecer, </w:t>
      </w:r>
      <w:r>
        <w:rPr>
          <w:rFonts w:ascii="Arial" w:hAnsi="Arial" w:cs="Arial"/>
          <w:i/>
          <w:sz w:val="20"/>
          <w:szCs w:val="20"/>
        </w:rPr>
        <w:t>sub censura</w:t>
      </w:r>
      <w:r>
        <w:rPr>
          <w:rFonts w:ascii="Arial" w:hAnsi="Arial" w:cs="Arial"/>
          <w:sz w:val="20"/>
          <w:szCs w:val="20"/>
        </w:rPr>
        <w:t>.</w:t>
      </w:r>
    </w:p>
    <w:p w:rsidR="00A7198A" w:rsidRDefault="00A7198A" w:rsidP="00A7198A">
      <w:pPr>
        <w:jc w:val="both"/>
        <w:rPr>
          <w:rFonts w:ascii="Arial" w:hAnsi="Arial" w:cs="Arial"/>
          <w:sz w:val="20"/>
        </w:rPr>
      </w:pPr>
    </w:p>
    <w:p w:rsidR="00A7198A" w:rsidRDefault="00A7198A" w:rsidP="00A7198A">
      <w:pPr>
        <w:rPr>
          <w:rFonts w:ascii="Arial" w:hAnsi="Arial" w:cs="Arial"/>
          <w:sz w:val="20"/>
          <w:szCs w:val="20"/>
        </w:rPr>
      </w:pPr>
      <w:r>
        <w:rPr>
          <w:rFonts w:ascii="Arial" w:hAnsi="Arial" w:cs="Arial"/>
          <w:sz w:val="20"/>
          <w:szCs w:val="20"/>
        </w:rPr>
        <w:tab/>
        <w:t>À Diretoria Legislativa, para os devidos fins.</w:t>
      </w:r>
    </w:p>
    <w:p w:rsidR="00A7198A" w:rsidRDefault="00A7198A" w:rsidP="00A7198A">
      <w:pPr>
        <w:rPr>
          <w:rFonts w:ascii="Arial" w:hAnsi="Arial" w:cs="Arial"/>
          <w:sz w:val="20"/>
          <w:szCs w:val="20"/>
        </w:rPr>
      </w:pPr>
      <w:r>
        <w:rPr>
          <w:rFonts w:ascii="Arial" w:hAnsi="Arial" w:cs="Arial"/>
          <w:sz w:val="20"/>
          <w:szCs w:val="20"/>
        </w:rPr>
        <w:tab/>
        <w:t>Em 04 de dezembro de 2.017.</w:t>
      </w:r>
    </w:p>
    <w:p w:rsidR="00A7198A" w:rsidRDefault="00A7198A" w:rsidP="00A7198A">
      <w:pPr>
        <w:rPr>
          <w:rFonts w:ascii="Arial" w:hAnsi="Arial" w:cs="Arial"/>
          <w:sz w:val="20"/>
          <w:szCs w:val="20"/>
        </w:rPr>
      </w:pPr>
    </w:p>
    <w:p w:rsidR="00A7198A" w:rsidRDefault="00A7198A" w:rsidP="00A7198A">
      <w:pPr>
        <w:rPr>
          <w:rFonts w:ascii="Arial" w:hAnsi="Arial" w:cs="Arial"/>
          <w:sz w:val="20"/>
          <w:szCs w:val="20"/>
        </w:rPr>
      </w:pPr>
    </w:p>
    <w:p w:rsidR="00C97E65" w:rsidRDefault="00C97E65" w:rsidP="00A7198A">
      <w:pPr>
        <w:rPr>
          <w:rFonts w:ascii="Arial" w:hAnsi="Arial" w:cs="Arial"/>
          <w:sz w:val="20"/>
          <w:szCs w:val="20"/>
        </w:rPr>
      </w:pPr>
    </w:p>
    <w:p w:rsidR="00A7198A" w:rsidRDefault="00A7198A" w:rsidP="00A7198A">
      <w:pPr>
        <w:rPr>
          <w:rFonts w:ascii="Arial" w:hAnsi="Arial" w:cs="Arial"/>
        </w:rPr>
      </w:pPr>
    </w:p>
    <w:p w:rsidR="00A7198A" w:rsidRDefault="00A7198A" w:rsidP="00A7198A">
      <w:pPr>
        <w:rPr>
          <w:rFonts w:ascii="Arial" w:hAnsi="Arial" w:cs="Arial"/>
          <w:sz w:val="20"/>
          <w:szCs w:val="20"/>
        </w:rPr>
      </w:pPr>
      <w:r>
        <w:rPr>
          <w:rFonts w:ascii="Arial" w:hAnsi="Arial" w:cs="Arial"/>
          <w:sz w:val="20"/>
          <w:szCs w:val="20"/>
        </w:rPr>
        <w:tab/>
        <w:t xml:space="preserve">      Claudio Roberto Velasquez</w:t>
      </w:r>
    </w:p>
    <w:p w:rsidR="00A7198A" w:rsidRDefault="00A7198A" w:rsidP="00A7198A">
      <w:pPr>
        <w:rPr>
          <w:rFonts w:ascii="Arial" w:hAnsi="Arial" w:cs="Arial"/>
          <w:sz w:val="16"/>
          <w:szCs w:val="16"/>
        </w:rPr>
      </w:pPr>
      <w:r>
        <w:rPr>
          <w:rFonts w:ascii="Arial" w:hAnsi="Arial" w:cs="Arial"/>
          <w:sz w:val="16"/>
          <w:szCs w:val="16"/>
        </w:rPr>
        <w:t xml:space="preserve">                       Procurador–Geral/OAB/RS 18.594</w:t>
      </w:r>
    </w:p>
    <w:p w:rsidR="00A7198A" w:rsidRDefault="00A7198A" w:rsidP="00A7198A">
      <w:pPr>
        <w:ind w:firstLine="708"/>
        <w:jc w:val="both"/>
        <w:rPr>
          <w:rFonts w:ascii="Arial" w:hAnsi="Arial" w:cs="Arial"/>
          <w:sz w:val="20"/>
          <w:szCs w:val="20"/>
        </w:rPr>
      </w:pPr>
    </w:p>
    <w:p w:rsidR="00A7198A" w:rsidRDefault="00A7198A" w:rsidP="00A7198A">
      <w:pPr>
        <w:jc w:val="both"/>
        <w:rPr>
          <w:rFonts w:ascii="Arial" w:hAnsi="Arial" w:cs="Arial"/>
          <w:sz w:val="20"/>
          <w:szCs w:val="20"/>
        </w:rPr>
      </w:pPr>
    </w:p>
    <w:p w:rsidR="00A7198A" w:rsidRDefault="00A7198A" w:rsidP="00A7198A"/>
    <w:p w:rsidR="00083805" w:rsidRDefault="00A104CE"/>
    <w:sectPr w:rsidR="00083805" w:rsidSect="00AD37E5">
      <w:pgSz w:w="11906" w:h="16838"/>
      <w:pgMar w:top="141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8A"/>
    <w:rsid w:val="00134B5B"/>
    <w:rsid w:val="004375DB"/>
    <w:rsid w:val="005A31E7"/>
    <w:rsid w:val="006438AB"/>
    <w:rsid w:val="00A104CE"/>
    <w:rsid w:val="00A7198A"/>
    <w:rsid w:val="00AD37E5"/>
    <w:rsid w:val="00C97E65"/>
    <w:rsid w:val="00F06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F06AA-DE77-4C03-BF8B-15F5992D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98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7198A"/>
    <w:pPr>
      <w:keepNext/>
      <w:outlineLvl w:val="0"/>
    </w:pPr>
    <w:rPr>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198A"/>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semiHidden/>
    <w:unhideWhenUsed/>
    <w:rsid w:val="00A7198A"/>
    <w:pPr>
      <w:tabs>
        <w:tab w:val="center" w:pos="4153"/>
        <w:tab w:val="right" w:pos="8306"/>
      </w:tabs>
    </w:pPr>
    <w:rPr>
      <w:szCs w:val="20"/>
    </w:rPr>
  </w:style>
  <w:style w:type="character" w:customStyle="1" w:styleId="CabealhoChar">
    <w:name w:val="Cabeçalho Char"/>
    <w:basedOn w:val="Fontepargpadro"/>
    <w:link w:val="Cabealho"/>
    <w:uiPriority w:val="99"/>
    <w:semiHidden/>
    <w:rsid w:val="00A7198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unhideWhenUsed/>
    <w:rsid w:val="00A7198A"/>
    <w:pPr>
      <w:ind w:firstLine="1134"/>
      <w:jc w:val="both"/>
    </w:pPr>
    <w:rPr>
      <w:rFonts w:ascii="Arial" w:hAnsi="Arial"/>
      <w:szCs w:val="20"/>
    </w:rPr>
  </w:style>
  <w:style w:type="character" w:customStyle="1" w:styleId="Recuodecorpodetexto2Char">
    <w:name w:val="Recuo de corpo de texto 2 Char"/>
    <w:basedOn w:val="Fontepargpadro"/>
    <w:link w:val="Recuodecorpodetexto2"/>
    <w:semiHidden/>
    <w:rsid w:val="00A7198A"/>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5</cp:revision>
  <cp:lastPrinted>2017-12-04T16:03:00Z</cp:lastPrinted>
  <dcterms:created xsi:type="dcterms:W3CDTF">2017-12-04T12:32:00Z</dcterms:created>
  <dcterms:modified xsi:type="dcterms:W3CDTF">2017-12-04T16:04:00Z</dcterms:modified>
</cp:coreProperties>
</file>