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55140E44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D74258F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170920F" w14:textId="5BFE20AC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 xml:space="preserve">Encaminha-se o presente </w:t>
      </w:r>
      <w:r w:rsidR="00E100D5">
        <w:rPr>
          <w:rFonts w:eastAsia="Calibri"/>
          <w:lang w:eastAsia="en-US"/>
        </w:rPr>
        <w:t>P</w:t>
      </w:r>
      <w:r w:rsidRPr="00F4539A">
        <w:rPr>
          <w:rFonts w:eastAsia="Calibri"/>
          <w:lang w:eastAsia="en-US"/>
        </w:rPr>
        <w:t xml:space="preserve">rojeto </w:t>
      </w:r>
      <w:r w:rsidR="00E100D5">
        <w:rPr>
          <w:rFonts w:eastAsia="Calibri"/>
          <w:lang w:eastAsia="en-US"/>
        </w:rPr>
        <w:t xml:space="preserve">de Lei </w:t>
      </w:r>
      <w:r w:rsidRPr="00F4539A">
        <w:rPr>
          <w:rFonts w:eastAsia="Calibri"/>
          <w:lang w:eastAsia="en-US"/>
        </w:rPr>
        <w:t>com o objetivo de instituir regramento para a prestação de informações sobre os recursos oriundos de multas de trânsito, uma vez que os dados não são divulgados de maneira detalhada aos cidadãos.</w:t>
      </w:r>
    </w:p>
    <w:p w14:paraId="46A026A9" w14:textId="7DB9B06C" w:rsidR="00F4539A" w:rsidRPr="00F4539A" w:rsidRDefault="00D56D6D" w:rsidP="00F4539A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F4539A" w:rsidRPr="00F4539A">
        <w:rPr>
          <w:rFonts w:eastAsia="Calibri"/>
          <w:lang w:eastAsia="en-US"/>
        </w:rPr>
        <w:t xml:space="preserve">bservou-se um aumento significativo na arrecadação dos valores advindos de multas de trânsito no último exercício. Enquanto na totalidade do ano de 2016 adentraram aos cofres municipais </w:t>
      </w:r>
      <w:r w:rsidR="00F4539A" w:rsidRPr="00AE0D05">
        <w:rPr>
          <w:rFonts w:eastAsia="Calibri"/>
          <w:u w:val="words"/>
          <w:lang w:eastAsia="en-US"/>
        </w:rPr>
        <w:t>R$ 26.734.936,72</w:t>
      </w:r>
      <w:r w:rsidR="00F4539A" w:rsidRPr="00F4539A">
        <w:rPr>
          <w:rFonts w:eastAsia="Calibri"/>
          <w:lang w:eastAsia="en-US"/>
        </w:rPr>
        <w:t xml:space="preserve">, no ano de 2017, entre janeiro </w:t>
      </w:r>
      <w:r>
        <w:rPr>
          <w:rFonts w:eastAsia="Calibri"/>
          <w:lang w:eastAsia="en-US"/>
        </w:rPr>
        <w:t>e</w:t>
      </w:r>
      <w:r w:rsidRPr="00F4539A">
        <w:rPr>
          <w:rFonts w:eastAsia="Calibri"/>
          <w:lang w:eastAsia="en-US"/>
        </w:rPr>
        <w:t xml:space="preserve"> </w:t>
      </w:r>
      <w:r w:rsidR="00F4539A" w:rsidRPr="00F4539A">
        <w:rPr>
          <w:rFonts w:eastAsia="Calibri"/>
          <w:lang w:eastAsia="en-US"/>
        </w:rPr>
        <w:t>novembro, conforme Tabela 1</w:t>
      </w:r>
      <w:r>
        <w:rPr>
          <w:rFonts w:eastAsia="Calibri"/>
          <w:lang w:eastAsia="en-US"/>
        </w:rPr>
        <w:t xml:space="preserve"> – </w:t>
      </w:r>
      <w:r w:rsidR="00F4539A" w:rsidRPr="00F4539A">
        <w:rPr>
          <w:rFonts w:eastAsia="Calibri"/>
          <w:lang w:eastAsia="en-US"/>
        </w:rPr>
        <w:t xml:space="preserve">confeccionada com base em consulta feita </w:t>
      </w:r>
      <w:r w:rsidR="00E100D5">
        <w:rPr>
          <w:rFonts w:eastAsia="Calibri"/>
          <w:lang w:eastAsia="en-US"/>
        </w:rPr>
        <w:t>por meio</w:t>
      </w:r>
      <w:r w:rsidR="00E100D5" w:rsidRPr="00F4539A">
        <w:rPr>
          <w:rFonts w:eastAsia="Calibri"/>
          <w:lang w:eastAsia="en-US"/>
        </w:rPr>
        <w:t xml:space="preserve"> </w:t>
      </w:r>
      <w:r w:rsidR="00F4539A" w:rsidRPr="00F4539A">
        <w:rPr>
          <w:rFonts w:eastAsia="Calibri"/>
          <w:lang w:eastAsia="en-US"/>
        </w:rPr>
        <w:t>do Portal Transparência</w:t>
      </w:r>
      <w:r w:rsidR="00E100D5">
        <w:rPr>
          <w:rFonts w:eastAsia="Calibri"/>
          <w:lang w:eastAsia="en-US"/>
        </w:rPr>
        <w:t xml:space="preserve"> da Prefeitura Municipal de Porto Alegre</w:t>
      </w:r>
      <w:r w:rsidR="00F4539A" w:rsidRPr="00F4539A">
        <w:rPr>
          <w:rFonts w:eastAsia="Calibri"/>
          <w:lang w:eastAsia="en-US"/>
        </w:rPr>
        <w:t xml:space="preserve"> no dia 29 de janeiro de 2018</w:t>
      </w:r>
      <w:r>
        <w:rPr>
          <w:rFonts w:eastAsia="Calibri"/>
          <w:lang w:eastAsia="en-US"/>
        </w:rPr>
        <w:t xml:space="preserve"> –</w:t>
      </w:r>
      <w:r w:rsidR="00F4539A" w:rsidRPr="00F4539A">
        <w:rPr>
          <w:rFonts w:eastAsia="Calibri"/>
          <w:lang w:eastAsia="en-US"/>
        </w:rPr>
        <w:t xml:space="preserve">, os resultados mensais dos valores arrecadados no exercício de 2017 totalizaram </w:t>
      </w:r>
      <w:r w:rsidR="00F4539A" w:rsidRPr="00AE0D05">
        <w:rPr>
          <w:rFonts w:eastAsia="Calibri"/>
          <w:u w:val="words"/>
          <w:lang w:eastAsia="en-US"/>
        </w:rPr>
        <w:t>R$ 43.410.206,67</w:t>
      </w:r>
      <w:r w:rsidR="00F4539A" w:rsidRPr="00F4539A">
        <w:rPr>
          <w:rFonts w:eastAsia="Calibri"/>
          <w:lang w:eastAsia="en-US"/>
        </w:rPr>
        <w:t xml:space="preserve">. </w:t>
      </w:r>
    </w:p>
    <w:p w14:paraId="08F7F9BD" w14:textId="77777777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</w:p>
    <w:p w14:paraId="2C34810F" w14:textId="26E368A7" w:rsidR="00F4539A" w:rsidRPr="00F4539A" w:rsidRDefault="00F4539A" w:rsidP="00F4539A">
      <w:pPr>
        <w:jc w:val="center"/>
        <w:rPr>
          <w:rFonts w:eastAsia="Calibri"/>
          <w:bCs/>
          <w:lang w:eastAsia="en-US"/>
        </w:rPr>
      </w:pPr>
      <w:r w:rsidRPr="00AE0D05">
        <w:rPr>
          <w:rFonts w:eastAsia="Calibri"/>
          <w:bCs/>
          <w:lang w:eastAsia="en-US"/>
        </w:rPr>
        <w:t>Tabela 1</w:t>
      </w:r>
      <w:r w:rsidRPr="00F4539A">
        <w:rPr>
          <w:rFonts w:eastAsia="Calibri"/>
          <w:bCs/>
          <w:lang w:eastAsia="en-US"/>
        </w:rPr>
        <w:t xml:space="preserve"> – Repasse de Multas de Trânsito 2017</w:t>
      </w:r>
    </w:p>
    <w:p w14:paraId="7547D52B" w14:textId="3724F93C" w:rsidR="00F4539A" w:rsidRPr="00F4539A" w:rsidRDefault="00F4539A" w:rsidP="00F4539A">
      <w:pPr>
        <w:ind w:firstLine="1418"/>
        <w:rPr>
          <w:rFonts w:eastAsia="Calibri"/>
          <w:lang w:eastAsia="en-US"/>
        </w:rPr>
      </w:pPr>
      <w:r w:rsidRPr="00F4539A"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 wp14:anchorId="79F4EDBC" wp14:editId="3FFA8B9C">
            <wp:simplePos x="0" y="0"/>
            <wp:positionH relativeFrom="column">
              <wp:posOffset>312464</wp:posOffset>
            </wp:positionH>
            <wp:positionV relativeFrom="paragraph">
              <wp:posOffset>195196</wp:posOffset>
            </wp:positionV>
            <wp:extent cx="539813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96" y="21439"/>
                <wp:lineTo x="2149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C9BFB7" w14:textId="68AECEF3" w:rsidR="00F4539A" w:rsidRPr="00F4539A" w:rsidRDefault="00F4539A" w:rsidP="00F4539A">
      <w:pPr>
        <w:jc w:val="center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>Fonte: Adaptado Portal Transparência</w:t>
      </w:r>
      <w:r w:rsidR="00E100D5">
        <w:rPr>
          <w:rFonts w:eastAsia="Calibri"/>
          <w:lang w:eastAsia="en-US"/>
        </w:rPr>
        <w:t xml:space="preserve"> </w:t>
      </w:r>
      <w:r w:rsidRPr="00F4539A">
        <w:rPr>
          <w:rFonts w:eastAsia="Calibri"/>
          <w:lang w:eastAsia="en-US"/>
        </w:rPr>
        <w:t>PMPA</w:t>
      </w:r>
    </w:p>
    <w:p w14:paraId="59CCBB4D" w14:textId="77777777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</w:p>
    <w:p w14:paraId="40B84E04" w14:textId="2B346860" w:rsidR="00F4539A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>Cumpre salientar que o acesso à informação de forma ampla e irrestrita deve pautar o trato dos recursos públicos em todas as suas esferas. E a transparência apresenta diversos conceitos, dependendo da área analisada. Segundo Cláudia Cappelli</w:t>
      </w:r>
      <w:r w:rsidRPr="00F4539A">
        <w:rPr>
          <w:rFonts w:eastAsia="Calibri"/>
          <w:vertAlign w:val="superscript"/>
          <w:lang w:eastAsia="en-US"/>
        </w:rPr>
        <w:footnoteReference w:id="1"/>
      </w:r>
      <w:r w:rsidRPr="00F4539A">
        <w:rPr>
          <w:rFonts w:eastAsia="Calibri"/>
          <w:lang w:eastAsia="en-US"/>
        </w:rPr>
        <w:t xml:space="preserve">, em estudo acerca do tema: </w:t>
      </w:r>
      <w:r w:rsidRPr="00AE0D05">
        <w:rPr>
          <w:rFonts w:eastAsia="Calibri"/>
          <w:lang w:eastAsia="en-US"/>
        </w:rPr>
        <w:t>“Transparência, de acordo com as ciências físicas, é dita como algo através do qual se pode ver, ou seja, algo que pode permitir ou melhorar a visão sobre determinado objeto</w:t>
      </w:r>
      <w:r w:rsidRPr="00681D1E">
        <w:rPr>
          <w:rFonts w:eastAsia="Calibri"/>
          <w:lang w:eastAsia="en-US"/>
        </w:rPr>
        <w:t>” (CAPPELLI, 2009, p.</w:t>
      </w:r>
      <w:r w:rsidR="00CD50B6">
        <w:rPr>
          <w:rFonts w:eastAsia="Calibri"/>
          <w:lang w:eastAsia="en-US"/>
        </w:rPr>
        <w:t xml:space="preserve"> </w:t>
      </w:r>
      <w:r w:rsidRPr="00681D1E">
        <w:rPr>
          <w:rFonts w:eastAsia="Calibri"/>
          <w:lang w:eastAsia="en-US"/>
        </w:rPr>
        <w:t>19). Nes</w:t>
      </w:r>
      <w:r w:rsidR="00CD50B6">
        <w:rPr>
          <w:rFonts w:eastAsia="Calibri"/>
          <w:lang w:eastAsia="en-US"/>
        </w:rPr>
        <w:t>s</w:t>
      </w:r>
      <w:r w:rsidRPr="00681D1E">
        <w:rPr>
          <w:rFonts w:eastAsia="Calibri"/>
          <w:lang w:eastAsia="en-US"/>
        </w:rPr>
        <w:t xml:space="preserve">e contexto, a autora define transparência: </w:t>
      </w:r>
    </w:p>
    <w:p w14:paraId="6106C5D4" w14:textId="77777777" w:rsidR="00681D1E" w:rsidRPr="00681D1E" w:rsidRDefault="00681D1E" w:rsidP="00F4539A">
      <w:pPr>
        <w:ind w:firstLine="1418"/>
        <w:jc w:val="both"/>
        <w:rPr>
          <w:rFonts w:eastAsia="Calibri"/>
          <w:lang w:eastAsia="en-US"/>
        </w:rPr>
      </w:pPr>
    </w:p>
    <w:p w14:paraId="7995CADD" w14:textId="11CC4473" w:rsidR="00F4539A" w:rsidRPr="00AE0D05" w:rsidRDefault="00F4539A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E0D05">
        <w:rPr>
          <w:rFonts w:eastAsia="Calibri"/>
          <w:sz w:val="20"/>
          <w:szCs w:val="20"/>
          <w:lang w:eastAsia="en-US"/>
        </w:rPr>
        <w:t>é algo que pode permitir ou melhorar a visão sobre os processos e as informações de uma organização ao dar oportunidade de conhecimento sobre a ela, reduzir a possibilidade de omissão entre os dados dos processos, possibilitar o controle sobre os produtos e serviços prestados, facilitar a investigação e aumentar a confiança entre as organizações e a sociedade (CAPPELLI, 2009, p.</w:t>
      </w:r>
      <w:r w:rsidR="00CD50B6">
        <w:rPr>
          <w:rFonts w:eastAsia="Calibri"/>
          <w:sz w:val="20"/>
          <w:szCs w:val="20"/>
          <w:lang w:eastAsia="en-US"/>
        </w:rPr>
        <w:t xml:space="preserve"> </w:t>
      </w:r>
      <w:r w:rsidRPr="00AE0D05">
        <w:rPr>
          <w:rFonts w:eastAsia="Calibri"/>
          <w:sz w:val="20"/>
          <w:szCs w:val="20"/>
          <w:lang w:eastAsia="en-US"/>
        </w:rPr>
        <w:t>19).</w:t>
      </w:r>
    </w:p>
    <w:p w14:paraId="02947135" w14:textId="77777777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</w:p>
    <w:p w14:paraId="13C7A78B" w14:textId="17A724F8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lastRenderedPageBreak/>
        <w:t xml:space="preserve">No âmbito da </w:t>
      </w:r>
      <w:r w:rsidR="00B55A7F">
        <w:rPr>
          <w:rFonts w:eastAsia="Calibri"/>
          <w:lang w:eastAsia="en-US"/>
        </w:rPr>
        <w:t>A</w:t>
      </w:r>
      <w:r w:rsidRPr="00F4539A">
        <w:rPr>
          <w:rFonts w:eastAsia="Calibri"/>
          <w:lang w:eastAsia="en-US"/>
        </w:rPr>
        <w:t xml:space="preserve">dministração </w:t>
      </w:r>
      <w:r w:rsidR="00B55A7F">
        <w:rPr>
          <w:rFonts w:eastAsia="Calibri"/>
          <w:lang w:eastAsia="en-US"/>
        </w:rPr>
        <w:t>P</w:t>
      </w:r>
      <w:r w:rsidRPr="00F4539A">
        <w:rPr>
          <w:rFonts w:eastAsia="Calibri"/>
          <w:lang w:eastAsia="en-US"/>
        </w:rPr>
        <w:t>ública, a transparência deve expressar todas as atividades desenvolvidas pelos gestores públicos, de maneira que a população tenha clara compreensão e fácil acesso sobre tudo o que os gestores têm realizado, (CRUZ, SILVA e SANTOS, 2009)</w:t>
      </w:r>
      <w:r w:rsidRPr="00F4539A">
        <w:rPr>
          <w:rFonts w:eastAsia="Calibri"/>
          <w:vertAlign w:val="superscript"/>
          <w:lang w:eastAsia="en-US"/>
        </w:rPr>
        <w:footnoteReference w:id="2"/>
      </w:r>
      <w:r w:rsidRPr="00F4539A">
        <w:rPr>
          <w:rFonts w:eastAsia="Calibri"/>
          <w:lang w:eastAsia="en-US"/>
        </w:rPr>
        <w:t>, sendo, assim, um fator indispensável para o fortalecimento das relações entre governo e cidadão</w:t>
      </w:r>
      <w:r w:rsidR="00DB7F67">
        <w:rPr>
          <w:rFonts w:eastAsia="Calibri"/>
          <w:lang w:eastAsia="en-US"/>
        </w:rPr>
        <w:t>s</w:t>
      </w:r>
      <w:r w:rsidRPr="00F4539A">
        <w:rPr>
          <w:rFonts w:eastAsia="Calibri"/>
          <w:lang w:eastAsia="en-US"/>
        </w:rPr>
        <w:t>.</w:t>
      </w:r>
    </w:p>
    <w:p w14:paraId="6D733632" w14:textId="0241EAAE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>De acordo com Ananda Guadagnin (2011)</w:t>
      </w:r>
      <w:r w:rsidRPr="00F4539A">
        <w:rPr>
          <w:rFonts w:eastAsia="Calibri"/>
          <w:vertAlign w:val="superscript"/>
          <w:lang w:eastAsia="en-US"/>
        </w:rPr>
        <w:footnoteReference w:id="3"/>
      </w:r>
      <w:r w:rsidRPr="00F4539A">
        <w:rPr>
          <w:rFonts w:eastAsia="Calibri"/>
          <w:lang w:eastAsia="en-US"/>
        </w:rPr>
        <w:t xml:space="preserve">, a transparência das contas públicas está ligada a três características: publicidade, compreensibilidade e utilidade. Portanto, não basta divulgar as informações, é preciso que </w:t>
      </w:r>
      <w:r w:rsidR="00B55A7F">
        <w:rPr>
          <w:rFonts w:eastAsia="Calibri"/>
          <w:lang w:eastAsia="en-US"/>
        </w:rPr>
        <w:t xml:space="preserve">elas </w:t>
      </w:r>
      <w:r w:rsidRPr="00F4539A">
        <w:rPr>
          <w:rFonts w:eastAsia="Calibri"/>
          <w:lang w:eastAsia="en-US"/>
        </w:rPr>
        <w:t>sejam disponibilizadas de forma ampla, com linguagem acessível e boa apresentação.</w:t>
      </w:r>
    </w:p>
    <w:p w14:paraId="77F2FD91" w14:textId="35D4CB9C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 xml:space="preserve">A importância da transparência na gestão pública baseia-se em diversos fatores, entre </w:t>
      </w:r>
      <w:r w:rsidR="00DB7F67">
        <w:rPr>
          <w:rFonts w:eastAsia="Calibri"/>
          <w:lang w:eastAsia="en-US"/>
        </w:rPr>
        <w:t>os quais</w:t>
      </w:r>
      <w:r w:rsidR="00DB7F67" w:rsidRPr="00F4539A">
        <w:rPr>
          <w:rFonts w:eastAsia="Calibri"/>
          <w:lang w:eastAsia="en-US"/>
        </w:rPr>
        <w:t xml:space="preserve"> </w:t>
      </w:r>
      <w:r w:rsidRPr="00F4539A">
        <w:rPr>
          <w:rFonts w:eastAsia="Calibri"/>
          <w:lang w:eastAsia="en-US"/>
        </w:rPr>
        <w:t>o fato de ser considerada um dos fundamentos da gestão fiscal pública responsável e de estar ligada diretamente ao princípio constitucional da publicidade, sendo seu estímulo um dos principais objetivos da Administração Pública.</w:t>
      </w:r>
    </w:p>
    <w:p w14:paraId="3FF6A8F9" w14:textId="4D41573E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>Ao ampliar o acesso dos cidadãos às informações sobre a gestão pública, torna-se um instrumento formidável de ligação entre o governo e a sociedade. Como destaca Guadagnin, a ampliação da divulgação das ações governamentais à população, além de contribuir para o fortalecimento da democracia, prestigia e desenvolve noções de cidadania (2011)</w:t>
      </w:r>
      <w:r w:rsidRPr="00F4539A">
        <w:rPr>
          <w:rFonts w:eastAsia="Calibri"/>
          <w:vertAlign w:val="superscript"/>
          <w:lang w:eastAsia="en-US"/>
        </w:rPr>
        <w:footnoteReference w:id="4"/>
      </w:r>
      <w:r w:rsidRPr="00F4539A">
        <w:rPr>
          <w:rFonts w:eastAsia="Calibri"/>
          <w:lang w:eastAsia="en-US"/>
        </w:rPr>
        <w:t xml:space="preserve">. </w:t>
      </w:r>
    </w:p>
    <w:p w14:paraId="74BD37B0" w14:textId="164D3E1E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>Os principais instrumentos legais que visam a garantir aos cidadãos a possibilidade de controle e acompanhamento das ações da gestão pública são a Lei de Responsabilidade Fiscal (Lei Complementar</w:t>
      </w:r>
      <w:r w:rsidR="00681D1E">
        <w:rPr>
          <w:rFonts w:eastAsia="Calibri"/>
          <w:lang w:eastAsia="en-US"/>
        </w:rPr>
        <w:t xml:space="preserve"> Federal</w:t>
      </w:r>
      <w:r w:rsidRPr="00F4539A">
        <w:rPr>
          <w:rFonts w:eastAsia="Calibri"/>
          <w:lang w:eastAsia="en-US"/>
        </w:rPr>
        <w:t xml:space="preserve"> nº 101, de 4</w:t>
      </w:r>
      <w:r w:rsidR="00681D1E">
        <w:rPr>
          <w:rFonts w:eastAsia="Calibri"/>
          <w:lang w:eastAsia="en-US"/>
        </w:rPr>
        <w:t xml:space="preserve"> de maio de </w:t>
      </w:r>
      <w:r w:rsidRPr="00F4539A">
        <w:rPr>
          <w:rFonts w:eastAsia="Calibri"/>
          <w:lang w:eastAsia="en-US"/>
        </w:rPr>
        <w:t xml:space="preserve">2000), a Lei da Transparência (Lei Complementar </w:t>
      </w:r>
      <w:r w:rsidR="00681D1E">
        <w:rPr>
          <w:rFonts w:eastAsia="Calibri"/>
          <w:lang w:eastAsia="en-US"/>
        </w:rPr>
        <w:t xml:space="preserve">Federal </w:t>
      </w:r>
      <w:r w:rsidRPr="00F4539A">
        <w:rPr>
          <w:rFonts w:eastAsia="Calibri"/>
          <w:lang w:eastAsia="en-US"/>
        </w:rPr>
        <w:t>nº 131, de 27</w:t>
      </w:r>
      <w:r w:rsidR="00681D1E">
        <w:rPr>
          <w:rFonts w:eastAsia="Calibri"/>
          <w:lang w:eastAsia="en-US"/>
        </w:rPr>
        <w:t xml:space="preserve"> de maio de </w:t>
      </w:r>
      <w:r w:rsidRPr="00F4539A">
        <w:rPr>
          <w:rFonts w:eastAsia="Calibri"/>
          <w:lang w:eastAsia="en-US"/>
        </w:rPr>
        <w:t>2009) e a Lei de Acesso à Informação (Lei</w:t>
      </w:r>
      <w:r w:rsidR="00681D1E">
        <w:rPr>
          <w:rFonts w:eastAsia="Calibri"/>
          <w:lang w:eastAsia="en-US"/>
        </w:rPr>
        <w:t xml:space="preserve"> Federal</w:t>
      </w:r>
      <w:r w:rsidRPr="00F4539A">
        <w:rPr>
          <w:rFonts w:eastAsia="Calibri"/>
          <w:lang w:eastAsia="en-US"/>
        </w:rPr>
        <w:t xml:space="preserve"> nº</w:t>
      </w:r>
      <w:r w:rsidR="00681D1E">
        <w:rPr>
          <w:rFonts w:eastAsia="Calibri"/>
          <w:lang w:eastAsia="en-US"/>
        </w:rPr>
        <w:t xml:space="preserve"> </w:t>
      </w:r>
      <w:r w:rsidRPr="00F4539A">
        <w:rPr>
          <w:rFonts w:eastAsia="Calibri"/>
          <w:lang w:eastAsia="en-US"/>
        </w:rPr>
        <w:t>12.527, de 18</w:t>
      </w:r>
      <w:r w:rsidR="00681D1E">
        <w:rPr>
          <w:rFonts w:eastAsia="Calibri"/>
          <w:lang w:eastAsia="en-US"/>
        </w:rPr>
        <w:t xml:space="preserve"> de novembro de </w:t>
      </w:r>
      <w:r w:rsidRPr="00F4539A">
        <w:rPr>
          <w:rFonts w:eastAsia="Calibri"/>
          <w:lang w:eastAsia="en-US"/>
        </w:rPr>
        <w:t xml:space="preserve">2011). </w:t>
      </w:r>
    </w:p>
    <w:p w14:paraId="1A0E55F9" w14:textId="33217CF5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>No Município de Porto Alegre</w:t>
      </w:r>
      <w:r w:rsidR="00681D1E">
        <w:rPr>
          <w:rFonts w:eastAsia="Calibri"/>
          <w:lang w:eastAsia="en-US"/>
        </w:rPr>
        <w:t>,</w:t>
      </w:r>
      <w:r w:rsidRPr="00F4539A">
        <w:rPr>
          <w:rFonts w:eastAsia="Calibri"/>
          <w:lang w:eastAsia="en-US"/>
        </w:rPr>
        <w:t xml:space="preserve"> o Portal Transparência e Acesso à Informação foi criado através da Lei nº 10.728</w:t>
      </w:r>
      <w:r w:rsidR="00681D1E">
        <w:rPr>
          <w:rFonts w:eastAsia="Calibri"/>
          <w:lang w:eastAsia="en-US"/>
        </w:rPr>
        <w:t>, de 15</w:t>
      </w:r>
      <w:r w:rsidR="009157E7">
        <w:rPr>
          <w:rFonts w:eastAsia="Calibri"/>
          <w:lang w:eastAsia="en-US"/>
        </w:rPr>
        <w:t xml:space="preserve"> </w:t>
      </w:r>
      <w:r w:rsidR="00681D1E">
        <w:rPr>
          <w:rFonts w:eastAsia="Calibri"/>
          <w:lang w:eastAsia="en-US"/>
        </w:rPr>
        <w:t xml:space="preserve">de julho de </w:t>
      </w:r>
      <w:r w:rsidRPr="00F4539A">
        <w:rPr>
          <w:rFonts w:eastAsia="Calibri"/>
          <w:lang w:eastAsia="en-US"/>
        </w:rPr>
        <w:t>2009, em perfeita consonância com as exigências da Lei Complementar</w:t>
      </w:r>
      <w:r w:rsidR="00681D1E">
        <w:rPr>
          <w:rFonts w:eastAsia="Calibri"/>
          <w:lang w:eastAsia="en-US"/>
        </w:rPr>
        <w:t xml:space="preserve"> Federal</w:t>
      </w:r>
      <w:r w:rsidRPr="00F4539A">
        <w:rPr>
          <w:rFonts w:eastAsia="Calibri"/>
          <w:lang w:eastAsia="en-US"/>
        </w:rPr>
        <w:t xml:space="preserve"> n° 131</w:t>
      </w:r>
      <w:r w:rsidR="00681D1E">
        <w:rPr>
          <w:rFonts w:eastAsia="Calibri"/>
          <w:lang w:eastAsia="en-US"/>
        </w:rPr>
        <w:t xml:space="preserve">, de </w:t>
      </w:r>
      <w:r w:rsidRPr="00F4539A">
        <w:rPr>
          <w:rFonts w:eastAsia="Calibri"/>
          <w:lang w:eastAsia="en-US"/>
        </w:rPr>
        <w:t xml:space="preserve">2009 e da Lei </w:t>
      </w:r>
      <w:r w:rsidR="00681D1E">
        <w:rPr>
          <w:rFonts w:eastAsia="Calibri"/>
          <w:lang w:eastAsia="en-US"/>
        </w:rPr>
        <w:t xml:space="preserve">Federal </w:t>
      </w:r>
      <w:r w:rsidRPr="00F4539A">
        <w:rPr>
          <w:rFonts w:eastAsia="Calibri"/>
          <w:lang w:eastAsia="en-US"/>
        </w:rPr>
        <w:t>nº 12.527</w:t>
      </w:r>
      <w:r w:rsidR="00681D1E">
        <w:rPr>
          <w:rFonts w:eastAsia="Calibri"/>
          <w:lang w:eastAsia="en-US"/>
        </w:rPr>
        <w:t xml:space="preserve">, de </w:t>
      </w:r>
      <w:r w:rsidRPr="00F4539A">
        <w:rPr>
          <w:rFonts w:eastAsia="Calibri"/>
          <w:lang w:eastAsia="en-US"/>
        </w:rPr>
        <w:t>2011 (Lei de Acesso à Informação, regulamentada pelo Decreto Municipal nº 18.302</w:t>
      </w:r>
      <w:r w:rsidR="00681D1E">
        <w:rPr>
          <w:rFonts w:eastAsia="Calibri"/>
          <w:lang w:eastAsia="en-US"/>
        </w:rPr>
        <w:t xml:space="preserve">, de </w:t>
      </w:r>
      <w:r w:rsidRPr="00F4539A">
        <w:rPr>
          <w:rFonts w:eastAsia="Calibri"/>
          <w:lang w:eastAsia="en-US"/>
        </w:rPr>
        <w:t>2013).</w:t>
      </w:r>
    </w:p>
    <w:p w14:paraId="3304EED3" w14:textId="26C38997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>A implantação da Lei nº 10.728, de 2009</w:t>
      </w:r>
      <w:r w:rsidR="00681D1E">
        <w:rPr>
          <w:rFonts w:eastAsia="Calibri"/>
          <w:lang w:eastAsia="en-US"/>
        </w:rPr>
        <w:t>,</w:t>
      </w:r>
      <w:r w:rsidRPr="00F4539A">
        <w:rPr>
          <w:rFonts w:eastAsia="Calibri"/>
          <w:lang w:eastAsia="en-US"/>
        </w:rPr>
        <w:t xml:space="preserve"> foi baseada nos princípios constitucionais da legalidade, impessoalidade, moralidade, publicidade e eficiência, os quais devem reger todos os atos da Administração Pública e, também, na necessidade de ampliar o acesso da população às informações relativas à aplicação dos recursos públicos.</w:t>
      </w:r>
    </w:p>
    <w:p w14:paraId="6DE6A5D8" w14:textId="38ADDC91" w:rsidR="00681D1E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 xml:space="preserve">Por sua vez, a legislação municipal referida acima determina que o </w:t>
      </w:r>
      <w:r w:rsidR="00681D1E">
        <w:rPr>
          <w:rFonts w:eastAsia="Calibri"/>
          <w:lang w:eastAsia="en-US"/>
        </w:rPr>
        <w:t>P</w:t>
      </w:r>
      <w:r w:rsidRPr="00F4539A">
        <w:rPr>
          <w:rFonts w:eastAsia="Calibri"/>
          <w:lang w:eastAsia="en-US"/>
        </w:rPr>
        <w:t>ortal divulgue as seguintes informações dos órgãos da Administração Direta e Indireta do Executivo Municipal</w:t>
      </w:r>
      <w:r w:rsidR="00681D1E">
        <w:rPr>
          <w:rFonts w:eastAsia="Calibri"/>
          <w:lang w:eastAsia="en-US"/>
        </w:rPr>
        <w:t>,</w:t>
      </w:r>
      <w:r w:rsidRPr="00F4539A">
        <w:rPr>
          <w:rFonts w:eastAsia="Calibri"/>
          <w:lang w:eastAsia="en-US"/>
        </w:rPr>
        <w:t xml:space="preserve"> conforme o </w:t>
      </w:r>
      <w:r w:rsidR="00681D1E">
        <w:rPr>
          <w:rFonts w:eastAsia="Calibri"/>
          <w:lang w:eastAsia="en-US"/>
        </w:rPr>
        <w:t>a</w:t>
      </w:r>
      <w:r w:rsidRPr="00F4539A">
        <w:rPr>
          <w:rFonts w:eastAsia="Calibri"/>
          <w:lang w:eastAsia="en-US"/>
        </w:rPr>
        <w:t xml:space="preserve">rt. 2º: </w:t>
      </w:r>
    </w:p>
    <w:p w14:paraId="16648F77" w14:textId="77777777" w:rsidR="00681D1E" w:rsidRDefault="00681D1E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DA73582" w14:textId="77777777" w:rsidR="00681D1E" w:rsidRPr="00AE0D05" w:rsidRDefault="00681D1E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E0D05">
        <w:rPr>
          <w:rFonts w:eastAsia="Calibri"/>
          <w:sz w:val="20"/>
          <w:szCs w:val="20"/>
          <w:lang w:eastAsia="en-US"/>
        </w:rPr>
        <w:t>I - receita;</w:t>
      </w:r>
    </w:p>
    <w:p w14:paraId="029D37FD" w14:textId="77777777" w:rsidR="00681D1E" w:rsidRPr="00AE0D05" w:rsidRDefault="00681D1E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E0D05">
        <w:rPr>
          <w:rFonts w:eastAsia="Calibri"/>
          <w:sz w:val="20"/>
          <w:szCs w:val="20"/>
          <w:lang w:eastAsia="en-US"/>
        </w:rPr>
        <w:t>II - execução orçamentária e financeira;</w:t>
      </w:r>
    </w:p>
    <w:p w14:paraId="277EC3A6" w14:textId="77777777" w:rsidR="00681D1E" w:rsidRPr="00AE0D05" w:rsidRDefault="00681D1E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E0D05">
        <w:rPr>
          <w:rFonts w:eastAsia="Calibri"/>
          <w:sz w:val="20"/>
          <w:szCs w:val="20"/>
          <w:lang w:eastAsia="en-US"/>
        </w:rPr>
        <w:t>III - despesas de custeio;</w:t>
      </w:r>
    </w:p>
    <w:p w14:paraId="26684F8C" w14:textId="77777777" w:rsidR="00681D1E" w:rsidRPr="00AE0D05" w:rsidRDefault="00681D1E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E0D05">
        <w:rPr>
          <w:rFonts w:eastAsia="Calibri"/>
          <w:sz w:val="20"/>
          <w:szCs w:val="20"/>
          <w:lang w:eastAsia="en-US"/>
        </w:rPr>
        <w:t>IV - licitações;</w:t>
      </w:r>
    </w:p>
    <w:p w14:paraId="1442D0CF" w14:textId="77777777" w:rsidR="00681D1E" w:rsidRPr="00AE0D05" w:rsidRDefault="00681D1E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E0D05">
        <w:rPr>
          <w:rFonts w:eastAsia="Calibri"/>
          <w:sz w:val="20"/>
          <w:szCs w:val="20"/>
          <w:lang w:eastAsia="en-US"/>
        </w:rPr>
        <w:t>V - convênios ou instrumentos congêneres;</w:t>
      </w:r>
    </w:p>
    <w:p w14:paraId="662C8630" w14:textId="77777777" w:rsidR="00681D1E" w:rsidRPr="00AE0D05" w:rsidRDefault="00681D1E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E0D05">
        <w:rPr>
          <w:rFonts w:eastAsia="Calibri"/>
          <w:sz w:val="20"/>
          <w:szCs w:val="20"/>
          <w:lang w:eastAsia="en-US"/>
        </w:rPr>
        <w:t>VI - diárias e passagens;</w:t>
      </w:r>
    </w:p>
    <w:p w14:paraId="7DA821AB" w14:textId="77777777" w:rsidR="00681D1E" w:rsidRPr="00AE0D05" w:rsidRDefault="00681D1E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E0D05">
        <w:rPr>
          <w:rFonts w:eastAsia="Calibri"/>
          <w:sz w:val="20"/>
          <w:szCs w:val="20"/>
          <w:lang w:eastAsia="en-US"/>
        </w:rPr>
        <w:t>VII - quadro funcional;</w:t>
      </w:r>
    </w:p>
    <w:p w14:paraId="1A6E9FDA" w14:textId="77777777" w:rsidR="00681D1E" w:rsidRPr="00AE0D05" w:rsidRDefault="00681D1E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E0D05">
        <w:rPr>
          <w:rFonts w:eastAsia="Calibri"/>
          <w:sz w:val="20"/>
          <w:szCs w:val="20"/>
          <w:lang w:eastAsia="en-US"/>
        </w:rPr>
        <w:t>VIII - folha de pagamento; e</w:t>
      </w:r>
    </w:p>
    <w:p w14:paraId="471DCF43" w14:textId="77777777" w:rsidR="00681D1E" w:rsidRPr="00AE0D05" w:rsidRDefault="00681D1E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E0D05">
        <w:rPr>
          <w:rFonts w:eastAsia="Calibri"/>
          <w:sz w:val="20"/>
          <w:szCs w:val="20"/>
          <w:lang w:eastAsia="en-US"/>
        </w:rPr>
        <w:t>IX - contratação de pessoal e de serviços.</w:t>
      </w:r>
    </w:p>
    <w:p w14:paraId="55F4290F" w14:textId="77777777" w:rsidR="00681D1E" w:rsidRDefault="00681D1E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E0D05">
        <w:rPr>
          <w:rFonts w:eastAsia="Calibri"/>
          <w:sz w:val="20"/>
          <w:szCs w:val="20"/>
          <w:lang w:eastAsia="en-US"/>
        </w:rPr>
        <w:lastRenderedPageBreak/>
        <w:t>X - relatórios finais produzidos pela Divisão de Auditoria-Geral da Con</w:t>
      </w:r>
      <w:r w:rsidRPr="00681D1E">
        <w:rPr>
          <w:rFonts w:eastAsia="Calibri"/>
          <w:sz w:val="20"/>
          <w:szCs w:val="20"/>
          <w:lang w:eastAsia="en-US"/>
        </w:rPr>
        <w:t>troladoria-Geral do Município.</w:t>
      </w:r>
    </w:p>
    <w:p w14:paraId="020CBC87" w14:textId="77777777" w:rsidR="00681D1E" w:rsidRDefault="00681D1E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7505918" w14:textId="5DE7ABA9" w:rsidR="00F4539A" w:rsidRPr="00F4539A" w:rsidRDefault="00F4539A" w:rsidP="00681D1E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>Desde o seu lançamento</w:t>
      </w:r>
      <w:r w:rsidR="00B55A7F">
        <w:rPr>
          <w:rFonts w:eastAsia="Calibri"/>
          <w:lang w:eastAsia="en-US"/>
        </w:rPr>
        <w:t>,</w:t>
      </w:r>
      <w:r w:rsidRPr="00F4539A">
        <w:rPr>
          <w:rFonts w:eastAsia="Calibri"/>
          <w:lang w:eastAsia="en-US"/>
        </w:rPr>
        <w:t xml:space="preserve"> em 2010</w:t>
      </w:r>
      <w:r w:rsidR="009157E7">
        <w:rPr>
          <w:rFonts w:eastAsia="Calibri"/>
          <w:lang w:eastAsia="en-US"/>
        </w:rPr>
        <w:t>,</w:t>
      </w:r>
      <w:r w:rsidRPr="00F4539A">
        <w:rPr>
          <w:rFonts w:eastAsia="Calibri"/>
          <w:lang w:eastAsia="en-US"/>
        </w:rPr>
        <w:t xml:space="preserve"> as informações são fornecidas</w:t>
      </w:r>
      <w:r w:rsidR="00305BC7">
        <w:rPr>
          <w:rFonts w:eastAsia="Calibri"/>
          <w:lang w:eastAsia="en-US"/>
        </w:rPr>
        <w:t xml:space="preserve"> pelo Portal Transparência</w:t>
      </w:r>
      <w:r w:rsidRPr="00F4539A">
        <w:rPr>
          <w:rFonts w:eastAsia="Calibri"/>
          <w:lang w:eastAsia="en-US"/>
        </w:rPr>
        <w:t xml:space="preserve">, bem como toda a legislação relacionada ao </w:t>
      </w:r>
      <w:r w:rsidR="00305BC7">
        <w:rPr>
          <w:rFonts w:eastAsia="Calibri"/>
          <w:lang w:eastAsia="en-US"/>
        </w:rPr>
        <w:t>seu funcionamento</w:t>
      </w:r>
      <w:r w:rsidRPr="00F4539A">
        <w:rPr>
          <w:rFonts w:eastAsia="Calibri"/>
          <w:lang w:eastAsia="en-US"/>
        </w:rPr>
        <w:t>. Em 18 de novembro de 2011</w:t>
      </w:r>
      <w:r w:rsidR="00305BC7">
        <w:rPr>
          <w:rFonts w:eastAsia="Calibri"/>
          <w:lang w:eastAsia="en-US"/>
        </w:rPr>
        <w:t>,</w:t>
      </w:r>
      <w:r w:rsidRPr="00F4539A">
        <w:rPr>
          <w:rFonts w:eastAsia="Calibri"/>
          <w:lang w:eastAsia="en-US"/>
        </w:rPr>
        <w:t xml:space="preserve"> foi promulgada a Lei Federal nº 12.527, conhecida como Lei de Acesso à Informação (LAI). A </w:t>
      </w:r>
      <w:r w:rsidR="00305BC7">
        <w:rPr>
          <w:rFonts w:eastAsia="Calibri"/>
          <w:lang w:eastAsia="en-US"/>
        </w:rPr>
        <w:t xml:space="preserve">LAI </w:t>
      </w:r>
      <w:r w:rsidRPr="00F4539A">
        <w:rPr>
          <w:rFonts w:eastAsia="Calibri"/>
          <w:lang w:eastAsia="en-US"/>
        </w:rPr>
        <w:t xml:space="preserve">garante o direito de acesso ágil, transparente, claro e de fácil compreensão, bem como a divulgação de informações de interesse público. O órgão ou entidade pública deve propiciar o acesso imediato à informação disponível, independe de solicitações. Conforme o </w:t>
      </w:r>
      <w:r w:rsidR="00305BC7">
        <w:rPr>
          <w:rFonts w:eastAsia="Calibri"/>
          <w:lang w:eastAsia="en-US"/>
        </w:rPr>
        <w:t>a</w:t>
      </w:r>
      <w:r w:rsidRPr="00F4539A">
        <w:rPr>
          <w:rFonts w:eastAsia="Calibri"/>
          <w:lang w:eastAsia="en-US"/>
        </w:rPr>
        <w:t xml:space="preserve">rt. 5° da referida </w:t>
      </w:r>
      <w:r w:rsidR="00305BC7">
        <w:rPr>
          <w:rFonts w:eastAsia="Calibri"/>
          <w:lang w:eastAsia="en-US"/>
        </w:rPr>
        <w:t>L</w:t>
      </w:r>
      <w:r w:rsidRPr="00F4539A">
        <w:rPr>
          <w:rFonts w:eastAsia="Calibri"/>
          <w:lang w:eastAsia="en-US"/>
        </w:rPr>
        <w:t>ei</w:t>
      </w:r>
      <w:r w:rsidR="00305BC7">
        <w:rPr>
          <w:rFonts w:eastAsia="Calibri"/>
          <w:lang w:eastAsia="en-US"/>
        </w:rPr>
        <w:t>,</w:t>
      </w:r>
      <w:r w:rsidRPr="00F4539A">
        <w:rPr>
          <w:rFonts w:eastAsia="Calibri"/>
          <w:lang w:eastAsia="en-US"/>
        </w:rPr>
        <w:t xml:space="preserve"> </w:t>
      </w:r>
      <w:r w:rsidR="00305BC7">
        <w:rPr>
          <w:rFonts w:eastAsia="Calibri"/>
          <w:lang w:eastAsia="en-US"/>
        </w:rPr>
        <w:t>“é</w:t>
      </w:r>
      <w:r w:rsidRPr="00F4539A">
        <w:rPr>
          <w:rFonts w:eastAsia="Calibri"/>
          <w:lang w:eastAsia="en-US"/>
        </w:rPr>
        <w:t xml:space="preserve"> dever do Estado garantir o direito de acesso à informação, que será franqueada, mediante procedimentos objetivos e ágeis, de forma transparente, clara e em linguagem de fácil compreensão</w:t>
      </w:r>
      <w:r w:rsidR="00305BC7">
        <w:rPr>
          <w:rFonts w:eastAsia="Calibri"/>
          <w:lang w:eastAsia="en-US"/>
        </w:rPr>
        <w:t>”</w:t>
      </w:r>
      <w:r w:rsidRPr="00F4539A">
        <w:rPr>
          <w:rFonts w:eastAsia="Calibri"/>
          <w:lang w:eastAsia="en-US"/>
        </w:rPr>
        <w:t xml:space="preserve">. </w:t>
      </w:r>
    </w:p>
    <w:p w14:paraId="67C51D5D" w14:textId="77777777" w:rsidR="00681D1E" w:rsidRDefault="00F4539A" w:rsidP="00681D1E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>Conforme Mathias-Pereira (2014, p. 216)</w:t>
      </w:r>
      <w:r w:rsidRPr="00F4539A">
        <w:rPr>
          <w:rFonts w:eastAsia="Calibri"/>
          <w:vertAlign w:val="superscript"/>
          <w:lang w:eastAsia="en-US"/>
        </w:rPr>
        <w:footnoteReference w:id="5"/>
      </w:r>
      <w:r w:rsidRPr="00F4539A">
        <w:rPr>
          <w:rFonts w:eastAsia="Calibri"/>
          <w:lang w:eastAsia="en-US"/>
        </w:rPr>
        <w:t xml:space="preserve">: </w:t>
      </w:r>
    </w:p>
    <w:p w14:paraId="121907D5" w14:textId="77777777" w:rsidR="00681D1E" w:rsidRDefault="00681D1E" w:rsidP="00AE0D05">
      <w:pPr>
        <w:ind w:left="2268"/>
        <w:jc w:val="both"/>
        <w:rPr>
          <w:rFonts w:eastAsia="Calibri"/>
          <w:lang w:eastAsia="en-US"/>
        </w:rPr>
      </w:pPr>
    </w:p>
    <w:p w14:paraId="4076C709" w14:textId="0063D652" w:rsidR="00F4539A" w:rsidRPr="00AE0D05" w:rsidRDefault="00F4539A" w:rsidP="00AE0D0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E0D05">
        <w:rPr>
          <w:rFonts w:eastAsia="Calibri"/>
          <w:sz w:val="20"/>
          <w:szCs w:val="20"/>
          <w:lang w:eastAsia="en-US"/>
        </w:rPr>
        <w:t>Caso seja implantada de forma adequada, se apresenta como um instrumento relevante para a consolidação da democracia do Brasil, além de prevenir a corrupção no país. É por meio de uma maior participação popular e do controle social das ações governamentais, via acesso da sociedade as informações públicas, que será possível elevar a qualidade na gestão pública.</w:t>
      </w:r>
    </w:p>
    <w:p w14:paraId="654E38B0" w14:textId="77777777" w:rsidR="00681D1E" w:rsidRDefault="00681D1E" w:rsidP="00F4539A">
      <w:pPr>
        <w:ind w:firstLine="1418"/>
        <w:jc w:val="both"/>
        <w:rPr>
          <w:rFonts w:eastAsia="Calibri"/>
          <w:lang w:eastAsia="en-US"/>
        </w:rPr>
      </w:pPr>
    </w:p>
    <w:p w14:paraId="27BE6B87" w14:textId="0CCF423E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>De acordo com consulta feita no Portal de Transparência do Município de Porto Alegre</w:t>
      </w:r>
      <w:r w:rsidRPr="00F4539A">
        <w:rPr>
          <w:rFonts w:eastAsia="Calibri"/>
          <w:vertAlign w:val="superscript"/>
          <w:lang w:eastAsia="en-US"/>
        </w:rPr>
        <w:footnoteReference w:id="6"/>
      </w:r>
      <w:r w:rsidRPr="00F4539A">
        <w:rPr>
          <w:rFonts w:eastAsia="Calibri"/>
          <w:lang w:eastAsia="en-US"/>
        </w:rPr>
        <w:t>, observa-se que quanto aos dados referentes à receita são informados apenas os valores realizados por mês. Entende-se que os valores deveriam ser divulgados com o máximo de detalhamento, como por exemplo: a previsão e o realizado da receita originária das multas de trânsito; o número total de multas de trânsito aplicadas, detalhada pelo tipo de infração; apresentar os registros sintéticos e analíticos dos valores empenhados, liquidados e pagos, detalhando o nível de subelemento de despesa, dos gastos com recursos provenientes das multas de trânsito e ainda  informar os saldos oriundos de exercícios anteriores e transferidos a competências futuras.</w:t>
      </w:r>
    </w:p>
    <w:p w14:paraId="4F2FE9EA" w14:textId="073B5DC7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 xml:space="preserve">Destaca-se, ainda, como principal objetivo deste </w:t>
      </w:r>
      <w:r w:rsidR="00305BC7">
        <w:rPr>
          <w:rFonts w:eastAsia="Calibri"/>
          <w:lang w:eastAsia="en-US"/>
        </w:rPr>
        <w:t>P</w:t>
      </w:r>
      <w:r w:rsidRPr="00F4539A">
        <w:rPr>
          <w:rFonts w:eastAsia="Calibri"/>
          <w:lang w:eastAsia="en-US"/>
        </w:rPr>
        <w:t xml:space="preserve">rojeto o acompanhamento e </w:t>
      </w:r>
      <w:r w:rsidR="00305BC7">
        <w:rPr>
          <w:rFonts w:eastAsia="Calibri"/>
          <w:lang w:eastAsia="en-US"/>
        </w:rPr>
        <w:t xml:space="preserve">a </w:t>
      </w:r>
      <w:r w:rsidRPr="00F4539A">
        <w:rPr>
          <w:rFonts w:eastAsia="Calibri"/>
          <w:lang w:eastAsia="en-US"/>
        </w:rPr>
        <w:t>avaliação da execução da gestão, proporcionando maior transparência e divulgação de dados à população, ratificado pelo autor Mathias-Pereira (2014) que a transparência é o instrumento mais significativo para assegurar a legitimidade do governo junto à população.</w:t>
      </w:r>
    </w:p>
    <w:p w14:paraId="7C2DA7F8" w14:textId="24A02CA6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 xml:space="preserve">Assim, existindo atualmente tecnologia devidamente disponibilizada por meio do Portal de Transparência para que a </w:t>
      </w:r>
      <w:r w:rsidR="00305BC7">
        <w:rPr>
          <w:rFonts w:eastAsia="Calibri"/>
          <w:lang w:eastAsia="en-US"/>
        </w:rPr>
        <w:t>A</w:t>
      </w:r>
      <w:r w:rsidRPr="00F4539A">
        <w:rPr>
          <w:rFonts w:eastAsia="Calibri"/>
          <w:lang w:eastAsia="en-US"/>
        </w:rPr>
        <w:t xml:space="preserve">dministração </w:t>
      </w:r>
      <w:r w:rsidR="00305BC7">
        <w:rPr>
          <w:rFonts w:eastAsia="Calibri"/>
          <w:lang w:eastAsia="en-US"/>
        </w:rPr>
        <w:t>M</w:t>
      </w:r>
      <w:r w:rsidRPr="00F4539A">
        <w:rPr>
          <w:rFonts w:eastAsia="Calibri"/>
          <w:lang w:eastAsia="en-US"/>
        </w:rPr>
        <w:t xml:space="preserve">unicipal preste contas à sociedade e interaja na busca de soluções para as necessidades existentes, é importante ampliar a divulgação de dados, </w:t>
      </w:r>
      <w:r w:rsidR="00305BC7">
        <w:rPr>
          <w:rFonts w:eastAsia="Calibri"/>
          <w:lang w:eastAsia="en-US"/>
        </w:rPr>
        <w:t xml:space="preserve">inclusive os </w:t>
      </w:r>
      <w:r w:rsidRPr="00F4539A">
        <w:rPr>
          <w:rFonts w:eastAsia="Calibri"/>
          <w:lang w:eastAsia="en-US"/>
        </w:rPr>
        <w:t>referentes aos recursos oriundos de multas de trânsito.</w:t>
      </w:r>
    </w:p>
    <w:p w14:paraId="7E91DFDC" w14:textId="6AF0FF66" w:rsidR="00F4539A" w:rsidRPr="00F4539A" w:rsidRDefault="00F4539A" w:rsidP="00F4539A">
      <w:pPr>
        <w:ind w:firstLine="1418"/>
        <w:jc w:val="both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 xml:space="preserve">Certo do apoio dos meus pares, submeto o presente </w:t>
      </w:r>
      <w:r w:rsidR="00305BC7">
        <w:rPr>
          <w:rFonts w:eastAsia="Calibri"/>
          <w:lang w:eastAsia="en-US"/>
        </w:rPr>
        <w:t>P</w:t>
      </w:r>
      <w:r w:rsidRPr="00F4539A">
        <w:rPr>
          <w:rFonts w:eastAsia="Calibri"/>
          <w:lang w:eastAsia="en-US"/>
        </w:rPr>
        <w:t xml:space="preserve">rojeto de </w:t>
      </w:r>
      <w:r w:rsidR="00305BC7">
        <w:rPr>
          <w:rFonts w:eastAsia="Calibri"/>
          <w:lang w:eastAsia="en-US"/>
        </w:rPr>
        <w:t>L</w:t>
      </w:r>
      <w:r w:rsidRPr="00F4539A">
        <w:rPr>
          <w:rFonts w:eastAsia="Calibri"/>
          <w:lang w:eastAsia="en-US"/>
        </w:rPr>
        <w:t xml:space="preserve">ei </w:t>
      </w:r>
      <w:r w:rsidR="00305BC7">
        <w:rPr>
          <w:rFonts w:eastAsia="Calibri"/>
          <w:lang w:eastAsia="en-US"/>
        </w:rPr>
        <w:t xml:space="preserve">à </w:t>
      </w:r>
      <w:r w:rsidRPr="00F4539A">
        <w:rPr>
          <w:rFonts w:eastAsia="Calibri"/>
          <w:lang w:eastAsia="en-US"/>
        </w:rPr>
        <w:t>apreciação d</w:t>
      </w:r>
      <w:r w:rsidR="00305BC7">
        <w:rPr>
          <w:rFonts w:eastAsia="Calibri"/>
          <w:lang w:eastAsia="en-US"/>
        </w:rPr>
        <w:t>esta</w:t>
      </w:r>
      <w:r w:rsidRPr="00F4539A">
        <w:rPr>
          <w:rFonts w:eastAsia="Calibri"/>
          <w:lang w:eastAsia="en-US"/>
        </w:rPr>
        <w:t xml:space="preserve"> Câmara.</w:t>
      </w:r>
    </w:p>
    <w:p w14:paraId="5CA51301" w14:textId="77777777" w:rsidR="009E70B5" w:rsidRDefault="009E70B5" w:rsidP="004B6A9E">
      <w:pPr>
        <w:ind w:firstLine="1418"/>
        <w:jc w:val="both"/>
        <w:rPr>
          <w:rFonts w:eastAsia="Calibri"/>
          <w:lang w:eastAsia="en-US"/>
        </w:rPr>
      </w:pPr>
    </w:p>
    <w:p w14:paraId="43D6F9C9" w14:textId="518A5A0F" w:rsidR="00504671" w:rsidRPr="00504671" w:rsidRDefault="00F4539A" w:rsidP="004B6A9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Sala das Sessões,</w:t>
      </w:r>
      <w:r w:rsidR="004D76D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5</w:t>
      </w:r>
      <w:r w:rsidR="00BE41C3" w:rsidRPr="00504671">
        <w:rPr>
          <w:rFonts w:eastAsia="Calibri"/>
          <w:lang w:eastAsia="en-US"/>
        </w:rPr>
        <w:t xml:space="preserve"> </w:t>
      </w:r>
      <w:r w:rsidR="00504671" w:rsidRPr="00504671">
        <w:rPr>
          <w:rFonts w:eastAsia="Calibri"/>
          <w:lang w:eastAsia="en-US"/>
        </w:rPr>
        <w:t xml:space="preserve">de </w:t>
      </w:r>
      <w:r>
        <w:rPr>
          <w:rFonts w:eastAsia="Calibri"/>
          <w:lang w:eastAsia="en-US"/>
        </w:rPr>
        <w:t xml:space="preserve">fevereiro </w:t>
      </w:r>
      <w:r w:rsidR="00504671" w:rsidRPr="00504671">
        <w:rPr>
          <w:rFonts w:eastAsia="Calibri"/>
          <w:lang w:eastAsia="en-US"/>
        </w:rPr>
        <w:t xml:space="preserve">de </w:t>
      </w:r>
      <w:r w:rsidR="00BE41C3">
        <w:rPr>
          <w:rFonts w:eastAsia="Calibri"/>
          <w:lang w:eastAsia="en-US"/>
        </w:rPr>
        <w:t>2018</w:t>
      </w:r>
      <w:r w:rsidR="00504671" w:rsidRPr="00504671">
        <w:rPr>
          <w:rFonts w:eastAsia="Calibri"/>
          <w:lang w:eastAsia="en-US"/>
        </w:rPr>
        <w:t>.</w:t>
      </w:r>
    </w:p>
    <w:p w14:paraId="2939677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1A440D97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798300F0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31C802A1" w14:textId="77B9601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F4539A">
        <w:rPr>
          <w:rFonts w:eastAsia="Calibri"/>
          <w:lang w:eastAsia="en-US"/>
        </w:rPr>
        <w:t>ANDRÉ CARÚS</w:t>
      </w:r>
    </w:p>
    <w:p w14:paraId="6119B5AD" w14:textId="694D2C18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325B89DC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CC498DB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D2904E5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EE40AD4" w14:textId="68B72779" w:rsidR="00BE065D" w:rsidRPr="008B44B4" w:rsidRDefault="004570BE" w:rsidP="00F4539A">
      <w:pPr>
        <w:autoSpaceDE w:val="0"/>
        <w:autoSpaceDN w:val="0"/>
        <w:adjustRightInd w:val="0"/>
        <w:ind w:left="4253"/>
        <w:jc w:val="both"/>
      </w:pPr>
      <w:r>
        <w:rPr>
          <w:b/>
        </w:rPr>
        <w:t>Obriga</w:t>
      </w:r>
      <w:r w:rsidRPr="00F4539A">
        <w:rPr>
          <w:b/>
        </w:rPr>
        <w:t xml:space="preserve"> </w:t>
      </w:r>
      <w:r>
        <w:rPr>
          <w:b/>
        </w:rPr>
        <w:t xml:space="preserve">o Executivo Municipal </w:t>
      </w:r>
      <w:r w:rsidR="00CF3CF0" w:rsidRPr="00CF3CF0">
        <w:rPr>
          <w:b/>
        </w:rPr>
        <w:t>a prestar contas das receitas originárias das multas de trânsito e de sua destinação, por meio da divulgação das informações em seu sítio oficial, em local de fácil acesso ao público, e também utilizando outros meios e instrumentos legítimos.</w:t>
      </w:r>
    </w:p>
    <w:p w14:paraId="2D803B03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4B053837" w14:textId="77777777" w:rsidR="00F4539A" w:rsidRPr="008B44B4" w:rsidRDefault="00F4539A" w:rsidP="008B44B4">
      <w:pPr>
        <w:autoSpaceDE w:val="0"/>
        <w:autoSpaceDN w:val="0"/>
        <w:adjustRightInd w:val="0"/>
        <w:jc w:val="center"/>
      </w:pPr>
    </w:p>
    <w:p w14:paraId="012BAC3E" w14:textId="3509AA12" w:rsidR="00F4539A" w:rsidRDefault="00923F05" w:rsidP="00F4539A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EC2F7E">
        <w:t xml:space="preserve">Fica o Executivo Municipal obrigado a </w:t>
      </w:r>
      <w:r w:rsidR="00F4539A">
        <w:t>prestar contas das receitas originárias das multas de trânsito</w:t>
      </w:r>
      <w:r w:rsidR="00EC2F7E">
        <w:t xml:space="preserve"> e d</w:t>
      </w:r>
      <w:r w:rsidR="004941DA">
        <w:t>e</w:t>
      </w:r>
      <w:r w:rsidR="00EC2F7E">
        <w:t xml:space="preserve"> sua destinação, por meio da </w:t>
      </w:r>
      <w:r w:rsidR="00EC2F7E" w:rsidRPr="00EC2F7E">
        <w:t xml:space="preserve">divulgação das informações em </w:t>
      </w:r>
      <w:r w:rsidR="001060C2">
        <w:t xml:space="preserve">seu sítio oficial, em </w:t>
      </w:r>
      <w:r w:rsidR="00EC2F7E" w:rsidRPr="00EC2F7E">
        <w:t>local de fácil acesso</w:t>
      </w:r>
      <w:r w:rsidR="001060C2">
        <w:t xml:space="preserve"> ao público, </w:t>
      </w:r>
      <w:r w:rsidR="00C06230">
        <w:t xml:space="preserve">e </w:t>
      </w:r>
      <w:r w:rsidR="001060C2">
        <w:t xml:space="preserve">também </w:t>
      </w:r>
      <w:r w:rsidR="00EC2F7E" w:rsidRPr="00EC2F7E">
        <w:t>utiliza</w:t>
      </w:r>
      <w:r w:rsidR="00C06230">
        <w:t>ndo</w:t>
      </w:r>
      <w:r w:rsidR="00EC2F7E" w:rsidRPr="00EC2F7E">
        <w:t xml:space="preserve"> </w:t>
      </w:r>
      <w:r w:rsidR="00C06230">
        <w:t>outros</w:t>
      </w:r>
      <w:r w:rsidR="00EC2F7E" w:rsidRPr="00EC2F7E">
        <w:t xml:space="preserve"> meios e instrumentos legítimos</w:t>
      </w:r>
      <w:r w:rsidR="00F4539A">
        <w:t>.</w:t>
      </w:r>
    </w:p>
    <w:p w14:paraId="22D4F786" w14:textId="77777777" w:rsidR="00C06230" w:rsidRDefault="00C06230" w:rsidP="00F4539A">
      <w:pPr>
        <w:ind w:firstLine="1418"/>
        <w:jc w:val="both"/>
      </w:pPr>
    </w:p>
    <w:p w14:paraId="5F2891B1" w14:textId="62B56525" w:rsidR="00C06230" w:rsidRDefault="00C06230" w:rsidP="00F4539A">
      <w:pPr>
        <w:ind w:firstLine="1418"/>
        <w:jc w:val="both"/>
      </w:pPr>
      <w:r w:rsidRPr="00AE0D05">
        <w:rPr>
          <w:b/>
        </w:rPr>
        <w:t xml:space="preserve">Parágrafo único. </w:t>
      </w:r>
      <w:r>
        <w:t xml:space="preserve"> A prestação de contas deverá ser mensal</w:t>
      </w:r>
      <w:r w:rsidR="005011F5">
        <w:t xml:space="preserve">, assim que </w:t>
      </w:r>
      <w:r w:rsidR="00CF3CF0">
        <w:t xml:space="preserve">as informações estiverem </w:t>
      </w:r>
      <w:r w:rsidR="005011F5">
        <w:t>disponíveis</w:t>
      </w:r>
      <w:r>
        <w:t>.</w:t>
      </w:r>
    </w:p>
    <w:p w14:paraId="037B6D0A" w14:textId="77777777" w:rsidR="00F4539A" w:rsidRDefault="00F4539A" w:rsidP="00F4539A">
      <w:pPr>
        <w:ind w:firstLine="1418"/>
        <w:jc w:val="both"/>
      </w:pPr>
    </w:p>
    <w:p w14:paraId="340D78AA" w14:textId="01B9F3AD" w:rsidR="00F4539A" w:rsidRDefault="00F4539A" w:rsidP="00F4539A">
      <w:pPr>
        <w:ind w:firstLine="1418"/>
        <w:jc w:val="both"/>
      </w:pPr>
      <w:r w:rsidRPr="00F4539A">
        <w:rPr>
          <w:b/>
        </w:rPr>
        <w:t>Art. 2º</w:t>
      </w:r>
      <w:r>
        <w:t xml:space="preserve">  O sítio de que trata o</w:t>
      </w:r>
      <w:r w:rsidR="00C06230">
        <w:t xml:space="preserve"> </w:t>
      </w:r>
      <w:r w:rsidR="00C06230">
        <w:rPr>
          <w:i/>
        </w:rPr>
        <w:t>caput</w:t>
      </w:r>
      <w:r w:rsidR="00C06230">
        <w:t xml:space="preserve"> do</w:t>
      </w:r>
      <w:r>
        <w:t xml:space="preserve"> </w:t>
      </w:r>
      <w:r w:rsidR="00EC2F7E">
        <w:t>a</w:t>
      </w:r>
      <w:r>
        <w:t>rt. 1º</w:t>
      </w:r>
      <w:r w:rsidR="00EC2F7E">
        <w:t xml:space="preserve"> desta Lei</w:t>
      </w:r>
      <w:r>
        <w:t xml:space="preserve"> deverá conter, dentre outr</w:t>
      </w:r>
      <w:r w:rsidR="00EC2F7E">
        <w:t>as</w:t>
      </w:r>
      <w:r>
        <w:t xml:space="preserve"> já estabelecid</w:t>
      </w:r>
      <w:r w:rsidR="00EC2F7E">
        <w:t>a</w:t>
      </w:r>
      <w:r>
        <w:t xml:space="preserve">s </w:t>
      </w:r>
      <w:r w:rsidR="00EC2F7E">
        <w:t>em legislações</w:t>
      </w:r>
      <w:r>
        <w:t>, as seguintes informações:</w:t>
      </w:r>
    </w:p>
    <w:p w14:paraId="03DAEB87" w14:textId="77777777" w:rsidR="00F4539A" w:rsidRDefault="00F4539A" w:rsidP="00F4539A">
      <w:pPr>
        <w:ind w:firstLine="1418"/>
        <w:jc w:val="both"/>
      </w:pPr>
    </w:p>
    <w:p w14:paraId="008A3E63" w14:textId="7A56FBF5" w:rsidR="00F4539A" w:rsidRDefault="00F4539A" w:rsidP="00F4539A">
      <w:pPr>
        <w:ind w:firstLine="1418"/>
        <w:jc w:val="both"/>
      </w:pPr>
      <w:r>
        <w:t xml:space="preserve">I – a </w:t>
      </w:r>
      <w:r w:rsidR="00EC2F7E">
        <w:t>p</w:t>
      </w:r>
      <w:r>
        <w:t xml:space="preserve">revisão e o </w:t>
      </w:r>
      <w:r w:rsidR="00EC2F7E">
        <w:t>r</w:t>
      </w:r>
      <w:r>
        <w:t>ealizado da receita originária das multas de trânsito;</w:t>
      </w:r>
    </w:p>
    <w:p w14:paraId="5288131C" w14:textId="77777777" w:rsidR="00F4539A" w:rsidRDefault="00F4539A" w:rsidP="00F4539A">
      <w:pPr>
        <w:ind w:firstLine="1418"/>
        <w:jc w:val="both"/>
      </w:pPr>
    </w:p>
    <w:p w14:paraId="49520D63" w14:textId="1673309E" w:rsidR="00F4539A" w:rsidRDefault="00F4539A" w:rsidP="00F4539A">
      <w:pPr>
        <w:ind w:firstLine="1418"/>
        <w:jc w:val="both"/>
      </w:pPr>
      <w:r>
        <w:t xml:space="preserve">II </w:t>
      </w:r>
      <w:r w:rsidRPr="00F4539A">
        <w:t xml:space="preserve">– </w:t>
      </w:r>
      <w:r>
        <w:t>o número total de multas de trânsito aplicadas, detalhada</w:t>
      </w:r>
      <w:r w:rsidR="00666ED4">
        <w:t>s</w:t>
      </w:r>
      <w:r>
        <w:t xml:space="preserve"> pelo tipo de infração;</w:t>
      </w:r>
    </w:p>
    <w:p w14:paraId="6BD869B3" w14:textId="77777777" w:rsidR="00F4539A" w:rsidRDefault="00F4539A" w:rsidP="00F4539A">
      <w:pPr>
        <w:ind w:firstLine="1418"/>
        <w:jc w:val="both"/>
      </w:pPr>
    </w:p>
    <w:p w14:paraId="685BF6F4" w14:textId="66980034" w:rsidR="00F4539A" w:rsidRDefault="00F4539A" w:rsidP="00F4539A">
      <w:pPr>
        <w:ind w:firstLine="1418"/>
        <w:jc w:val="both"/>
      </w:pPr>
      <w:r>
        <w:t>III – os registros sintéticos e analíticos dos valores empenhados, liquidados e pagos, detalhando o nível de subelemento de despesa</w:t>
      </w:r>
      <w:r w:rsidR="00787A41">
        <w:t xml:space="preserve"> e</w:t>
      </w:r>
      <w:r>
        <w:t xml:space="preserve"> dos gastos com recursos provenientes das multas de trânsito; e</w:t>
      </w:r>
    </w:p>
    <w:p w14:paraId="2B1DE375" w14:textId="77777777" w:rsidR="00F4539A" w:rsidRDefault="00F4539A" w:rsidP="00F4539A">
      <w:pPr>
        <w:ind w:firstLine="1418"/>
        <w:jc w:val="both"/>
      </w:pPr>
    </w:p>
    <w:p w14:paraId="34ABB9CD" w14:textId="2972124F" w:rsidR="00F4539A" w:rsidRDefault="00F4539A" w:rsidP="00F4539A">
      <w:pPr>
        <w:ind w:firstLine="1418"/>
        <w:jc w:val="both"/>
      </w:pPr>
      <w:r>
        <w:t xml:space="preserve">IV </w:t>
      </w:r>
      <w:r w:rsidRPr="00F4539A">
        <w:t xml:space="preserve">– </w:t>
      </w:r>
      <w:r w:rsidR="00787A41">
        <w:t xml:space="preserve">os </w:t>
      </w:r>
      <w:r>
        <w:t>saldos oriundos de exercícios anteriores e transferidos a competências futuras.</w:t>
      </w:r>
    </w:p>
    <w:p w14:paraId="3B03AD16" w14:textId="77777777" w:rsidR="00F4539A" w:rsidRDefault="00F4539A" w:rsidP="00F4539A">
      <w:pPr>
        <w:ind w:firstLine="1418"/>
        <w:jc w:val="both"/>
      </w:pPr>
    </w:p>
    <w:p w14:paraId="5059E45A" w14:textId="2A488BAF" w:rsidR="009E70B5" w:rsidRDefault="00F4539A" w:rsidP="00F4539A">
      <w:pPr>
        <w:ind w:firstLine="1418"/>
        <w:jc w:val="both"/>
      </w:pPr>
      <w:r w:rsidRPr="00F4539A">
        <w:rPr>
          <w:b/>
        </w:rPr>
        <w:t xml:space="preserve">Art. </w:t>
      </w:r>
      <w:r w:rsidR="001060C2">
        <w:rPr>
          <w:b/>
        </w:rPr>
        <w:t>3</w:t>
      </w:r>
      <w:r w:rsidRPr="00F4539A">
        <w:rPr>
          <w:b/>
        </w:rPr>
        <w:t>º</w:t>
      </w:r>
      <w:r>
        <w:t xml:space="preserve">  Esta Lei entra em vigor </w:t>
      </w:r>
      <w:r w:rsidR="002A655D">
        <w:t xml:space="preserve">em </w:t>
      </w:r>
      <w:r>
        <w:t>90 (noventa)</w:t>
      </w:r>
      <w:r w:rsidR="002A655D">
        <w:t xml:space="preserve"> dias, contados da</w:t>
      </w:r>
      <w:r>
        <w:t xml:space="preserve"> data de sua publicação.</w:t>
      </w:r>
    </w:p>
    <w:p w14:paraId="4D6A710C" w14:textId="77777777" w:rsidR="00BE065D" w:rsidRDefault="00BE065D" w:rsidP="0017042C">
      <w:pPr>
        <w:ind w:firstLine="1418"/>
        <w:jc w:val="both"/>
      </w:pPr>
    </w:p>
    <w:p w14:paraId="077FC197" w14:textId="77777777" w:rsidR="00DD165F" w:rsidRDefault="00DD165F" w:rsidP="0017042C">
      <w:pPr>
        <w:ind w:firstLine="1418"/>
        <w:jc w:val="both"/>
      </w:pPr>
    </w:p>
    <w:p w14:paraId="4B32645E" w14:textId="77777777" w:rsidR="00490D78" w:rsidRDefault="00490D78" w:rsidP="0017042C">
      <w:pPr>
        <w:ind w:firstLine="1418"/>
        <w:jc w:val="both"/>
      </w:pPr>
    </w:p>
    <w:p w14:paraId="35F415E2" w14:textId="77777777" w:rsidR="00BE065D" w:rsidRDefault="00BE065D" w:rsidP="0017042C">
      <w:pPr>
        <w:ind w:firstLine="1418"/>
        <w:jc w:val="both"/>
      </w:pPr>
    </w:p>
    <w:p w14:paraId="6FF84ED3" w14:textId="77777777" w:rsidR="009654CD" w:rsidRDefault="009654CD" w:rsidP="0017042C">
      <w:pPr>
        <w:ind w:firstLine="1418"/>
        <w:jc w:val="both"/>
      </w:pPr>
    </w:p>
    <w:p w14:paraId="40E92FC2" w14:textId="77777777" w:rsidR="009654CD" w:rsidRDefault="009654CD" w:rsidP="0017042C">
      <w:pPr>
        <w:ind w:firstLine="1418"/>
        <w:jc w:val="both"/>
      </w:pPr>
    </w:p>
    <w:p w14:paraId="4CD9EDEF" w14:textId="77777777" w:rsidR="009654CD" w:rsidRDefault="009654CD" w:rsidP="0017042C">
      <w:pPr>
        <w:ind w:firstLine="1418"/>
        <w:jc w:val="both"/>
      </w:pPr>
    </w:p>
    <w:p w14:paraId="5F89B61A" w14:textId="77777777" w:rsidR="00BE065D" w:rsidRDefault="00BE065D" w:rsidP="0017042C">
      <w:pPr>
        <w:ind w:firstLine="1418"/>
        <w:jc w:val="both"/>
      </w:pPr>
    </w:p>
    <w:p w14:paraId="411BD9D7" w14:textId="363AD68D" w:rsidR="00322580" w:rsidRPr="0017042C" w:rsidRDefault="00F4539A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  <w:footnote w:id="1">
    <w:p w14:paraId="6C58D28B" w14:textId="77777777" w:rsidR="00F4539A" w:rsidRPr="000306E8" w:rsidRDefault="00F4539A" w:rsidP="00F4539A">
      <w:pPr>
        <w:pStyle w:val="Textodenotaderodap"/>
        <w:jc w:val="both"/>
      </w:pPr>
      <w:r w:rsidRPr="000306E8">
        <w:rPr>
          <w:rStyle w:val="Refdenotaderodap"/>
        </w:rPr>
        <w:footnoteRef/>
      </w:r>
      <w:r w:rsidRPr="000306E8">
        <w:t xml:space="preserve"> CAPPELLI, Cláudia. Uma Abordagem para Transparência em Processos Organizacionais Utilizando Aspectos, Tese de Doutorado, Departamento de Informática, PUC-Rio, Ago. 2009. Disponível em: &lt;http://www-di.inf.puc-rio.br/~julio/tese-cappelli.pdf&gt;. Acesso em: 26 Jan. 2018.</w:t>
      </w:r>
    </w:p>
  </w:footnote>
  <w:footnote w:id="2">
    <w:p w14:paraId="26920EAA" w14:textId="77777777" w:rsidR="00F4539A" w:rsidRPr="000306E8" w:rsidRDefault="00F4539A" w:rsidP="00F4539A">
      <w:pPr>
        <w:pStyle w:val="Textodenotaderodap"/>
        <w:jc w:val="both"/>
      </w:pPr>
      <w:r w:rsidRPr="000306E8">
        <w:rPr>
          <w:rStyle w:val="Refdenotaderodap"/>
        </w:rPr>
        <w:footnoteRef/>
      </w:r>
      <w:r w:rsidRPr="000306E8">
        <w:t xml:space="preserve"> CRUZ, Cláudia Ferreira; SILVA, Lino Martins da; SANTOS, Ruthberg dos. Transparência da gestão fiscal: um estudo a partir dos portais eletrônicos dos maiores municípios do Estado do Rio de Janeiro. In: II Encontro de Administração da Informação, 2009, Recife. Anais, ANPAD, 2009</w:t>
      </w:r>
    </w:p>
  </w:footnote>
  <w:footnote w:id="3">
    <w:p w14:paraId="4C496673" w14:textId="77777777" w:rsidR="00F4539A" w:rsidRDefault="00F4539A" w:rsidP="00F4539A">
      <w:pPr>
        <w:pStyle w:val="Textodenotaderodap"/>
        <w:jc w:val="both"/>
      </w:pPr>
      <w:r w:rsidRPr="000306E8">
        <w:rPr>
          <w:rStyle w:val="Refdenotaderodap"/>
        </w:rPr>
        <w:footnoteRef/>
      </w:r>
      <w:r w:rsidRPr="000306E8">
        <w:t xml:space="preserve"> GUADAGNIN, Ananda. A Transparência na Gestão Pública: Uma análise da sua concretização em Porto Alegre, Canoas e Novo Hamburgo. Porto Alegre: UFRGS, 2011.</w:t>
      </w:r>
    </w:p>
  </w:footnote>
  <w:footnote w:id="4">
    <w:p w14:paraId="36EC29B0" w14:textId="3C238FF1" w:rsidR="00F4539A" w:rsidRDefault="00F4539A" w:rsidP="00F4539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05BC7">
        <w:t>Idem.</w:t>
      </w:r>
    </w:p>
  </w:footnote>
  <w:footnote w:id="5">
    <w:p w14:paraId="1D080B99" w14:textId="77777777" w:rsidR="00F4539A" w:rsidRDefault="00F4539A" w:rsidP="00F4539A">
      <w:pPr>
        <w:pStyle w:val="Textodenotaderodap"/>
        <w:jc w:val="both"/>
      </w:pPr>
      <w:r>
        <w:rPr>
          <w:rStyle w:val="Refdenotaderodap"/>
        </w:rPr>
        <w:footnoteRef/>
      </w:r>
      <w:r w:rsidRPr="000306E8">
        <w:t xml:space="preserve"> MATIAS-PEREIRA, José. Curso de Administração Pública: foco nas instituições e ações governamentais. 4 ed. – São Paulo: Atlas, 2014.</w:t>
      </w:r>
    </w:p>
  </w:footnote>
  <w:footnote w:id="6">
    <w:p w14:paraId="58B1AB12" w14:textId="77777777" w:rsidR="00F4539A" w:rsidRDefault="00F4539A" w:rsidP="00F4539A">
      <w:pPr>
        <w:pStyle w:val="Textodenotaderodap"/>
        <w:jc w:val="both"/>
      </w:pPr>
      <w:r>
        <w:rPr>
          <w:rStyle w:val="Refdenotaderodap"/>
        </w:rPr>
        <w:footnoteRef/>
      </w:r>
      <w:r>
        <w:t>Portal de Transparência do Município de Porto Alegre, acessado em 29/01/2018: h</w:t>
      </w:r>
      <w:r w:rsidRPr="00CF3381">
        <w:t>ttp://portaltransparencia.procempa.com.br/portalTransparencia/entidadeReceitaNiveisPesquisa.do?entidade=EPTC&amp;exercicio=2017#)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E0D05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5253A39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4539A">
      <w:rPr>
        <w:b/>
        <w:bCs/>
      </w:rPr>
      <w:t>0207</w:t>
    </w:r>
    <w:r w:rsidR="009339B1">
      <w:rPr>
        <w:b/>
        <w:bCs/>
      </w:rPr>
      <w:t>/</w:t>
    </w:r>
    <w:r w:rsidR="00BE41C3">
      <w:rPr>
        <w:b/>
        <w:bCs/>
      </w:rPr>
      <w:t>1</w:t>
    </w:r>
    <w:r w:rsidR="007C1C00">
      <w:rPr>
        <w:b/>
        <w:bCs/>
      </w:rPr>
      <w:t>8</w:t>
    </w:r>
  </w:p>
  <w:p w14:paraId="54C7F57C" w14:textId="4F536311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F4539A">
      <w:rPr>
        <w:b/>
        <w:bCs/>
      </w:rPr>
      <w:t>013</w:t>
    </w:r>
    <w:r w:rsidR="009339B1">
      <w:rPr>
        <w:b/>
        <w:bCs/>
      </w:rPr>
      <w:t>/</w:t>
    </w:r>
    <w:r w:rsidR="00BE41C3">
      <w:rPr>
        <w:b/>
        <w:bCs/>
      </w:rPr>
      <w:t>1</w:t>
    </w:r>
    <w:r w:rsidR="007C1C00">
      <w:rPr>
        <w:b/>
        <w:bCs/>
      </w:rPr>
      <w:t>8</w:t>
    </w: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  <w:p w14:paraId="71D8C9FE" w14:textId="77777777" w:rsidR="00467292" w:rsidRDefault="00467292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82501"/>
    <w:rsid w:val="000962D6"/>
    <w:rsid w:val="000B27B3"/>
    <w:rsid w:val="000B3B23"/>
    <w:rsid w:val="000B5093"/>
    <w:rsid w:val="000F41E2"/>
    <w:rsid w:val="000F535A"/>
    <w:rsid w:val="001060C2"/>
    <w:rsid w:val="0015472C"/>
    <w:rsid w:val="0017042C"/>
    <w:rsid w:val="001812F7"/>
    <w:rsid w:val="00192984"/>
    <w:rsid w:val="001D099C"/>
    <w:rsid w:val="001D6044"/>
    <w:rsid w:val="001E3D3B"/>
    <w:rsid w:val="001F1B7C"/>
    <w:rsid w:val="00200278"/>
    <w:rsid w:val="0020384D"/>
    <w:rsid w:val="00244AC2"/>
    <w:rsid w:val="00254F83"/>
    <w:rsid w:val="002741EC"/>
    <w:rsid w:val="00281135"/>
    <w:rsid w:val="00284BC8"/>
    <w:rsid w:val="00291447"/>
    <w:rsid w:val="002A655D"/>
    <w:rsid w:val="002C2775"/>
    <w:rsid w:val="002C623E"/>
    <w:rsid w:val="002E6F35"/>
    <w:rsid w:val="002E756C"/>
    <w:rsid w:val="002F321C"/>
    <w:rsid w:val="00305BC7"/>
    <w:rsid w:val="00315948"/>
    <w:rsid w:val="0032174A"/>
    <w:rsid w:val="00322580"/>
    <w:rsid w:val="003363CE"/>
    <w:rsid w:val="00353B25"/>
    <w:rsid w:val="003544CB"/>
    <w:rsid w:val="00356FD6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570BE"/>
    <w:rsid w:val="0046365B"/>
    <w:rsid w:val="00467292"/>
    <w:rsid w:val="0047413E"/>
    <w:rsid w:val="00484022"/>
    <w:rsid w:val="00487D8A"/>
    <w:rsid w:val="00490D78"/>
    <w:rsid w:val="004941DA"/>
    <w:rsid w:val="004A5493"/>
    <w:rsid w:val="004B6A9E"/>
    <w:rsid w:val="004C1E11"/>
    <w:rsid w:val="004D2C22"/>
    <w:rsid w:val="004D76DD"/>
    <w:rsid w:val="004F273F"/>
    <w:rsid w:val="005011F5"/>
    <w:rsid w:val="00504671"/>
    <w:rsid w:val="00520A30"/>
    <w:rsid w:val="00522CEE"/>
    <w:rsid w:val="005530F5"/>
    <w:rsid w:val="00555551"/>
    <w:rsid w:val="00556572"/>
    <w:rsid w:val="00566A9E"/>
    <w:rsid w:val="005903CC"/>
    <w:rsid w:val="00593946"/>
    <w:rsid w:val="00595989"/>
    <w:rsid w:val="005A1AB9"/>
    <w:rsid w:val="005A51B8"/>
    <w:rsid w:val="005A6ED5"/>
    <w:rsid w:val="005D1965"/>
    <w:rsid w:val="005E63AE"/>
    <w:rsid w:val="00665150"/>
    <w:rsid w:val="00666ED4"/>
    <w:rsid w:val="0067575D"/>
    <w:rsid w:val="00681D1E"/>
    <w:rsid w:val="006938C5"/>
    <w:rsid w:val="006951FF"/>
    <w:rsid w:val="006B2FE1"/>
    <w:rsid w:val="006B6B34"/>
    <w:rsid w:val="006F67D4"/>
    <w:rsid w:val="00714811"/>
    <w:rsid w:val="0076615D"/>
    <w:rsid w:val="00772B09"/>
    <w:rsid w:val="00777684"/>
    <w:rsid w:val="007846FD"/>
    <w:rsid w:val="00787A41"/>
    <w:rsid w:val="007953F9"/>
    <w:rsid w:val="007A3921"/>
    <w:rsid w:val="007C1C00"/>
    <w:rsid w:val="007E0DAA"/>
    <w:rsid w:val="007F5959"/>
    <w:rsid w:val="00802AFD"/>
    <w:rsid w:val="00803B7B"/>
    <w:rsid w:val="00831400"/>
    <w:rsid w:val="00837E3C"/>
    <w:rsid w:val="00847E49"/>
    <w:rsid w:val="00855B81"/>
    <w:rsid w:val="008B44B4"/>
    <w:rsid w:val="008C3A1B"/>
    <w:rsid w:val="008D15EB"/>
    <w:rsid w:val="009157E7"/>
    <w:rsid w:val="00923F05"/>
    <w:rsid w:val="009263D6"/>
    <w:rsid w:val="009339B1"/>
    <w:rsid w:val="00943437"/>
    <w:rsid w:val="009479C2"/>
    <w:rsid w:val="009654CD"/>
    <w:rsid w:val="00966965"/>
    <w:rsid w:val="009862B4"/>
    <w:rsid w:val="00987893"/>
    <w:rsid w:val="009A61F4"/>
    <w:rsid w:val="009B2589"/>
    <w:rsid w:val="009B5889"/>
    <w:rsid w:val="009C04EC"/>
    <w:rsid w:val="009E70B5"/>
    <w:rsid w:val="009F6C1C"/>
    <w:rsid w:val="009F6E02"/>
    <w:rsid w:val="00A07D58"/>
    <w:rsid w:val="00A52102"/>
    <w:rsid w:val="00A74362"/>
    <w:rsid w:val="00A753D4"/>
    <w:rsid w:val="00A810BB"/>
    <w:rsid w:val="00A81C02"/>
    <w:rsid w:val="00A87519"/>
    <w:rsid w:val="00AC2218"/>
    <w:rsid w:val="00AE0D05"/>
    <w:rsid w:val="00B03454"/>
    <w:rsid w:val="00B203DA"/>
    <w:rsid w:val="00B40877"/>
    <w:rsid w:val="00B4214A"/>
    <w:rsid w:val="00B55A7F"/>
    <w:rsid w:val="00B93FF9"/>
    <w:rsid w:val="00BE065D"/>
    <w:rsid w:val="00BE41C3"/>
    <w:rsid w:val="00C06230"/>
    <w:rsid w:val="00C430E5"/>
    <w:rsid w:val="00C72428"/>
    <w:rsid w:val="00CA0680"/>
    <w:rsid w:val="00CA5C69"/>
    <w:rsid w:val="00CB02AD"/>
    <w:rsid w:val="00CB4EF9"/>
    <w:rsid w:val="00CD50B6"/>
    <w:rsid w:val="00CD7A70"/>
    <w:rsid w:val="00CF3CF0"/>
    <w:rsid w:val="00D00992"/>
    <w:rsid w:val="00D47542"/>
    <w:rsid w:val="00D56D6D"/>
    <w:rsid w:val="00D63064"/>
    <w:rsid w:val="00D71299"/>
    <w:rsid w:val="00D84060"/>
    <w:rsid w:val="00D87085"/>
    <w:rsid w:val="00D903DD"/>
    <w:rsid w:val="00DA531B"/>
    <w:rsid w:val="00DB7F67"/>
    <w:rsid w:val="00DD165F"/>
    <w:rsid w:val="00DE419F"/>
    <w:rsid w:val="00DF6913"/>
    <w:rsid w:val="00E00B36"/>
    <w:rsid w:val="00E100D5"/>
    <w:rsid w:val="00E31D59"/>
    <w:rsid w:val="00E35A27"/>
    <w:rsid w:val="00E42E33"/>
    <w:rsid w:val="00E7431A"/>
    <w:rsid w:val="00E8628A"/>
    <w:rsid w:val="00EA1192"/>
    <w:rsid w:val="00EC0C7A"/>
    <w:rsid w:val="00EC2F7E"/>
    <w:rsid w:val="00EE3E86"/>
    <w:rsid w:val="00EF3D40"/>
    <w:rsid w:val="00F05832"/>
    <w:rsid w:val="00F432AC"/>
    <w:rsid w:val="00F4539A"/>
    <w:rsid w:val="00F6555B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E226-985F-4672-9C00-874BB711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1170</TotalTime>
  <Pages>4</Pages>
  <Words>1375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1 - 05/03/18 - 12h</cp:lastModifiedBy>
  <cp:revision>21</cp:revision>
  <cp:lastPrinted>2015-02-24T14:27:00Z</cp:lastPrinted>
  <dcterms:created xsi:type="dcterms:W3CDTF">2018-02-21T16:55:00Z</dcterms:created>
  <dcterms:modified xsi:type="dcterms:W3CDTF">2018-03-08T11:58:00Z</dcterms:modified>
</cp:coreProperties>
</file>