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BE" w:rsidRPr="00C66E80" w:rsidRDefault="00D309BE" w:rsidP="00D309BE">
      <w:pPr>
        <w:pStyle w:val="Cabealho"/>
        <w:jc w:val="center"/>
        <w:rPr>
          <w:rFonts w:ascii="Book Antiqua" w:hAnsi="Book Antiqua" w:cs="Arial"/>
          <w:b/>
          <w:szCs w:val="24"/>
        </w:rPr>
      </w:pPr>
      <w:r w:rsidRPr="00C66E80">
        <w:rPr>
          <w:rFonts w:ascii="Book Antiqua" w:hAnsi="Book Antiqua" w:cs="Arial"/>
          <w:b/>
          <w:szCs w:val="24"/>
        </w:rPr>
        <w:t>CÂMARA MUNICIPAL DE PORTO ALEGRE</w:t>
      </w:r>
    </w:p>
    <w:p w:rsidR="00D309BE" w:rsidRPr="00C66E80" w:rsidRDefault="00D309BE" w:rsidP="00D309BE">
      <w:pPr>
        <w:pStyle w:val="Cabealho"/>
        <w:jc w:val="center"/>
        <w:rPr>
          <w:rFonts w:ascii="Book Antiqua" w:hAnsi="Book Antiqua" w:cs="Arial"/>
          <w:szCs w:val="24"/>
        </w:rPr>
      </w:pPr>
      <w:r w:rsidRPr="00C66E80">
        <w:rPr>
          <w:rFonts w:ascii="Book Antiqua" w:hAnsi="Book Antiqua" w:cs="Arial"/>
          <w:b/>
          <w:szCs w:val="24"/>
        </w:rPr>
        <w:t>PROCURADORIA</w:t>
      </w:r>
    </w:p>
    <w:p w:rsidR="00D309BE" w:rsidRPr="00C66E80" w:rsidRDefault="00D309BE" w:rsidP="00D309BE">
      <w:pPr>
        <w:ind w:left="4536"/>
        <w:jc w:val="both"/>
        <w:rPr>
          <w:rFonts w:ascii="Book Antiqua" w:hAnsi="Book Antiqua" w:cs="Arial"/>
        </w:rPr>
      </w:pPr>
    </w:p>
    <w:p w:rsidR="00D309BE" w:rsidRPr="00C66E80" w:rsidRDefault="00552136" w:rsidP="00D309BE">
      <w:pPr>
        <w:pStyle w:val="Ttulo1"/>
        <w:rPr>
          <w:rFonts w:ascii="Book Antiqua" w:hAnsi="Book Antiqua" w:cs="Arial"/>
          <w:sz w:val="24"/>
          <w:szCs w:val="24"/>
        </w:rPr>
      </w:pPr>
      <w:r w:rsidRPr="00C66E80">
        <w:rPr>
          <w:rFonts w:ascii="Book Antiqua" w:hAnsi="Book Antiqua" w:cs="Arial"/>
          <w:sz w:val="24"/>
          <w:szCs w:val="24"/>
        </w:rPr>
        <w:t>PARECER Nº</w:t>
      </w:r>
      <w:r w:rsidR="00BA7302">
        <w:rPr>
          <w:rFonts w:ascii="Book Antiqua" w:hAnsi="Book Antiqua" w:cs="Arial"/>
          <w:sz w:val="24"/>
          <w:szCs w:val="24"/>
        </w:rPr>
        <w:t xml:space="preserve">  </w:t>
      </w:r>
      <w:r w:rsidR="00B1646C">
        <w:rPr>
          <w:rFonts w:ascii="Book Antiqua" w:hAnsi="Book Antiqua" w:cs="Arial"/>
          <w:sz w:val="24"/>
          <w:szCs w:val="24"/>
        </w:rPr>
        <w:t xml:space="preserve"> </w:t>
      </w:r>
      <w:r w:rsidR="00212D8A">
        <w:rPr>
          <w:rFonts w:ascii="Book Antiqua" w:hAnsi="Book Antiqua" w:cs="Arial"/>
          <w:sz w:val="24"/>
          <w:szCs w:val="24"/>
        </w:rPr>
        <w:t xml:space="preserve"> </w:t>
      </w:r>
      <w:r w:rsidR="00EE1149">
        <w:rPr>
          <w:rFonts w:ascii="Book Antiqua" w:hAnsi="Book Antiqua" w:cs="Arial"/>
          <w:sz w:val="24"/>
          <w:szCs w:val="24"/>
        </w:rPr>
        <w:t xml:space="preserve"> </w:t>
      </w:r>
      <w:r w:rsidR="005F6978">
        <w:rPr>
          <w:rFonts w:ascii="Book Antiqua" w:hAnsi="Book Antiqua" w:cs="Arial"/>
          <w:sz w:val="24"/>
          <w:szCs w:val="24"/>
        </w:rPr>
        <w:t>609</w:t>
      </w:r>
      <w:bookmarkStart w:id="0" w:name="_GoBack"/>
      <w:bookmarkEnd w:id="0"/>
      <w:r w:rsidR="00131115">
        <w:rPr>
          <w:rFonts w:ascii="Book Antiqua" w:hAnsi="Book Antiqua" w:cs="Arial"/>
          <w:sz w:val="24"/>
          <w:szCs w:val="24"/>
        </w:rPr>
        <w:t xml:space="preserve"> </w:t>
      </w:r>
      <w:r w:rsidR="00D309BE" w:rsidRPr="00C66E80">
        <w:rPr>
          <w:rFonts w:ascii="Book Antiqua" w:hAnsi="Book Antiqua" w:cs="Arial"/>
          <w:sz w:val="24"/>
          <w:szCs w:val="24"/>
        </w:rPr>
        <w:t>/1</w:t>
      </w:r>
      <w:r w:rsidR="00410C6F" w:rsidRPr="00C66E80">
        <w:rPr>
          <w:rFonts w:ascii="Book Antiqua" w:hAnsi="Book Antiqua" w:cs="Arial"/>
          <w:sz w:val="24"/>
          <w:szCs w:val="24"/>
        </w:rPr>
        <w:t>8</w:t>
      </w:r>
    </w:p>
    <w:p w:rsidR="00D309BE" w:rsidRPr="00C66E80" w:rsidRDefault="00D309BE" w:rsidP="00D309BE">
      <w:pPr>
        <w:ind w:left="4536"/>
        <w:jc w:val="both"/>
        <w:rPr>
          <w:rFonts w:ascii="Book Antiqua" w:hAnsi="Book Antiqua" w:cs="Arial"/>
        </w:rPr>
      </w:pPr>
    </w:p>
    <w:p w:rsidR="00D309BE" w:rsidRPr="00C66E80" w:rsidRDefault="00D309BE" w:rsidP="00410C6F">
      <w:pPr>
        <w:ind w:left="4536"/>
        <w:jc w:val="right"/>
        <w:rPr>
          <w:rFonts w:ascii="Book Antiqua" w:hAnsi="Book Antiqua" w:cs="Arial"/>
          <w:b/>
        </w:rPr>
      </w:pPr>
      <w:r w:rsidRPr="00C66E80">
        <w:rPr>
          <w:rFonts w:ascii="Book Antiqua" w:hAnsi="Book Antiqua" w:cs="Arial"/>
          <w:b/>
        </w:rPr>
        <w:t xml:space="preserve">            PROCESSO Nº </w:t>
      </w:r>
      <w:r w:rsidR="00EE1149">
        <w:rPr>
          <w:rFonts w:ascii="Book Antiqua" w:hAnsi="Book Antiqua" w:cs="Arial"/>
          <w:b/>
        </w:rPr>
        <w:t>0419</w:t>
      </w:r>
      <w:r w:rsidRPr="00C66E80">
        <w:rPr>
          <w:rFonts w:ascii="Book Antiqua" w:hAnsi="Book Antiqua" w:cs="Arial"/>
          <w:b/>
        </w:rPr>
        <w:t>/1</w:t>
      </w:r>
      <w:r w:rsidR="00BA7302">
        <w:rPr>
          <w:rFonts w:ascii="Book Antiqua" w:hAnsi="Book Antiqua" w:cs="Arial"/>
          <w:b/>
        </w:rPr>
        <w:t>8</w:t>
      </w:r>
    </w:p>
    <w:p w:rsidR="00D309BE" w:rsidRPr="00C66E80" w:rsidRDefault="00D309BE" w:rsidP="00410C6F">
      <w:pPr>
        <w:pStyle w:val="Ttulo2"/>
        <w:jc w:val="right"/>
        <w:rPr>
          <w:rFonts w:ascii="Book Antiqua" w:hAnsi="Book Antiqua"/>
        </w:rPr>
      </w:pPr>
      <w:r w:rsidRPr="00C66E80">
        <w:rPr>
          <w:rFonts w:ascii="Book Antiqua" w:hAnsi="Book Antiqua"/>
        </w:rPr>
        <w:t xml:space="preserve">            P</w:t>
      </w:r>
      <w:r w:rsidR="00B1646C">
        <w:rPr>
          <w:rFonts w:ascii="Book Antiqua" w:hAnsi="Book Antiqua"/>
        </w:rPr>
        <w:t>L</w:t>
      </w:r>
      <w:r w:rsidR="00EE1149">
        <w:rPr>
          <w:rFonts w:ascii="Book Antiqua" w:hAnsi="Book Antiqua"/>
        </w:rPr>
        <w:t>C</w:t>
      </w:r>
      <w:r w:rsidR="00B1646C">
        <w:rPr>
          <w:rFonts w:ascii="Book Antiqua" w:hAnsi="Book Antiqua"/>
        </w:rPr>
        <w:t>L</w:t>
      </w:r>
      <w:r w:rsidRPr="00C66E80">
        <w:rPr>
          <w:rFonts w:ascii="Book Antiqua" w:hAnsi="Book Antiqua"/>
        </w:rPr>
        <w:t xml:space="preserve"> Nº</w:t>
      </w:r>
      <w:r w:rsidR="00E266E9" w:rsidRPr="00C66E80">
        <w:rPr>
          <w:rFonts w:ascii="Book Antiqua" w:hAnsi="Book Antiqua"/>
        </w:rPr>
        <w:t xml:space="preserve"> </w:t>
      </w:r>
      <w:r w:rsidR="00EE1149">
        <w:rPr>
          <w:rFonts w:ascii="Book Antiqua" w:hAnsi="Book Antiqua"/>
        </w:rPr>
        <w:t>004</w:t>
      </w:r>
      <w:r w:rsidRPr="00C66E80">
        <w:rPr>
          <w:rFonts w:ascii="Book Antiqua" w:hAnsi="Book Antiqua"/>
        </w:rPr>
        <w:t>/1</w:t>
      </w:r>
      <w:r w:rsidR="00BA7302">
        <w:rPr>
          <w:rFonts w:ascii="Book Antiqua" w:hAnsi="Book Antiqua"/>
        </w:rPr>
        <w:t>8</w:t>
      </w:r>
    </w:p>
    <w:p w:rsidR="00D309BE" w:rsidRPr="00C66E80" w:rsidRDefault="00D309BE" w:rsidP="00D309BE">
      <w:pPr>
        <w:pStyle w:val="Cabealho"/>
        <w:ind w:hanging="4536"/>
        <w:jc w:val="center"/>
        <w:rPr>
          <w:rFonts w:ascii="Book Antiqua" w:hAnsi="Book Antiqua" w:cs="Arial"/>
          <w:b/>
          <w:szCs w:val="24"/>
        </w:rPr>
      </w:pPr>
    </w:p>
    <w:p w:rsidR="00D309BE" w:rsidRDefault="00D309BE" w:rsidP="00D309BE">
      <w:pPr>
        <w:rPr>
          <w:rFonts w:ascii="Book Antiqua" w:hAnsi="Book Antiqua" w:cs="Arial"/>
        </w:rPr>
      </w:pPr>
    </w:p>
    <w:p w:rsidR="000B4789" w:rsidRPr="00B1646C" w:rsidRDefault="000B4789" w:rsidP="000B4789">
      <w:pPr>
        <w:jc w:val="center"/>
        <w:rPr>
          <w:rFonts w:ascii="Book Antiqua" w:hAnsi="Book Antiqua" w:cs="Arial"/>
          <w:b/>
          <w:u w:val="single"/>
        </w:rPr>
      </w:pPr>
      <w:r w:rsidRPr="00B1646C">
        <w:rPr>
          <w:rFonts w:ascii="Book Antiqua" w:hAnsi="Book Antiqua" w:cs="Arial"/>
          <w:b/>
          <w:u w:val="single"/>
        </w:rPr>
        <w:t>PARECER PRÉVIO</w:t>
      </w:r>
    </w:p>
    <w:p w:rsidR="000B4789" w:rsidRDefault="000B4789" w:rsidP="00D309BE">
      <w:pPr>
        <w:rPr>
          <w:rFonts w:ascii="Book Antiqua" w:hAnsi="Book Antiqua" w:cs="Arial"/>
        </w:rPr>
      </w:pPr>
    </w:p>
    <w:p w:rsidR="000B4789" w:rsidRPr="00C66E80" w:rsidRDefault="000B4789" w:rsidP="00D309BE">
      <w:pPr>
        <w:rPr>
          <w:rFonts w:ascii="Book Antiqua" w:hAnsi="Book Antiqua" w:cs="Arial"/>
        </w:rPr>
      </w:pPr>
    </w:p>
    <w:p w:rsidR="00D309BE" w:rsidRPr="00C66E80" w:rsidRDefault="00D309BE" w:rsidP="00D309BE">
      <w:pPr>
        <w:pStyle w:val="Ttulo1"/>
        <w:rPr>
          <w:rFonts w:ascii="Book Antiqua" w:hAnsi="Book Antiqua"/>
          <w:sz w:val="24"/>
          <w:szCs w:val="24"/>
        </w:rPr>
      </w:pPr>
      <w:r w:rsidRPr="00C66E80">
        <w:rPr>
          <w:rFonts w:ascii="Book Antiqua" w:hAnsi="Book Antiqua"/>
          <w:sz w:val="24"/>
          <w:szCs w:val="24"/>
        </w:rPr>
        <w:tab/>
      </w:r>
      <w:r w:rsidRPr="00C66E80">
        <w:rPr>
          <w:rFonts w:ascii="Book Antiqua" w:hAnsi="Book Antiqua"/>
          <w:sz w:val="24"/>
          <w:szCs w:val="24"/>
        </w:rPr>
        <w:tab/>
      </w:r>
    </w:p>
    <w:p w:rsidR="00B55076" w:rsidRPr="00C66E80" w:rsidRDefault="00D309BE" w:rsidP="00EE1149">
      <w:pPr>
        <w:ind w:firstLine="1134"/>
        <w:jc w:val="both"/>
        <w:rPr>
          <w:rFonts w:ascii="Book Antiqua" w:hAnsi="Book Antiqua"/>
        </w:rPr>
      </w:pPr>
      <w:r w:rsidRPr="00C66E80">
        <w:rPr>
          <w:rFonts w:ascii="Book Antiqua" w:hAnsi="Book Antiqua"/>
        </w:rPr>
        <w:t>É submetido a exame desta Procuradoria, para parecer prévio, o Projeto de</w:t>
      </w:r>
      <w:r w:rsidR="00B1646C">
        <w:rPr>
          <w:rFonts w:ascii="Book Antiqua" w:hAnsi="Book Antiqua"/>
        </w:rPr>
        <w:t xml:space="preserve"> Lei</w:t>
      </w:r>
      <w:r w:rsidR="00EE1149">
        <w:rPr>
          <w:rFonts w:ascii="Book Antiqua" w:hAnsi="Book Antiqua"/>
        </w:rPr>
        <w:t xml:space="preserve"> Complementar</w:t>
      </w:r>
      <w:r w:rsidR="00B55076" w:rsidRPr="00C66E80">
        <w:rPr>
          <w:rFonts w:ascii="Book Antiqua" w:hAnsi="Book Antiqua"/>
        </w:rPr>
        <w:t>, em epígrafe,</w:t>
      </w:r>
      <w:r w:rsidR="00DD4D6A" w:rsidRPr="00C66E80">
        <w:rPr>
          <w:rFonts w:ascii="Book Antiqua" w:hAnsi="Book Antiqua"/>
        </w:rPr>
        <w:t xml:space="preserve"> </w:t>
      </w:r>
      <w:r w:rsidRPr="00C66E80">
        <w:rPr>
          <w:rFonts w:ascii="Book Antiqua" w:hAnsi="Book Antiqua"/>
        </w:rPr>
        <w:t>d</w:t>
      </w:r>
      <w:r w:rsidR="00186440" w:rsidRPr="00C66E80">
        <w:rPr>
          <w:rFonts w:ascii="Book Antiqua" w:hAnsi="Book Antiqua"/>
        </w:rPr>
        <w:t xml:space="preserve">e iniciativa </w:t>
      </w:r>
      <w:r w:rsidR="00B1646C">
        <w:rPr>
          <w:rFonts w:ascii="Book Antiqua" w:hAnsi="Book Antiqua"/>
        </w:rPr>
        <w:t>parlamentar</w:t>
      </w:r>
      <w:r w:rsidR="00186440" w:rsidRPr="00C66E80">
        <w:rPr>
          <w:rFonts w:ascii="Book Antiqua" w:hAnsi="Book Antiqua"/>
        </w:rPr>
        <w:t xml:space="preserve">, </w:t>
      </w:r>
      <w:r w:rsidR="00D94B98">
        <w:rPr>
          <w:rFonts w:ascii="Book Antiqua" w:hAnsi="Book Antiqua"/>
        </w:rPr>
        <w:t xml:space="preserve">que </w:t>
      </w:r>
      <w:r w:rsidR="00EE1149">
        <w:rPr>
          <w:rFonts w:ascii="Book Antiqua" w:hAnsi="Book Antiqua"/>
        </w:rPr>
        <w:t>a</w:t>
      </w:r>
      <w:r w:rsidR="00EE1149" w:rsidRPr="00EE1149">
        <w:rPr>
          <w:rFonts w:ascii="Book Antiqua" w:hAnsi="Book Antiqua"/>
        </w:rPr>
        <w:t xml:space="preserve">ltera o art. 18 da Lei Complementar nº 12, de 7 de janeiro de 1975 – </w:t>
      </w:r>
      <w:r w:rsidR="00EE1149" w:rsidRPr="00EE1149">
        <w:rPr>
          <w:rFonts w:ascii="Book Antiqua" w:hAnsi="Book Antiqua"/>
        </w:rPr>
        <w:tab/>
        <w:t>que institui posturas para o Município de Porto Alegre e dá outras providências –, e alterações posteriores, incluindo § 4º para excetuar do disposto em seu inc. IX as concentrações, as caminhadas, as manifestações e as festividades de caráter político, cultural, cívico, religioso ou popular realizadas nos termos daquela Lei Complementar.</w:t>
      </w:r>
    </w:p>
    <w:p w:rsidR="00EE1149" w:rsidRDefault="00EE1149" w:rsidP="00131115">
      <w:pPr>
        <w:pStyle w:val="Corpodetexto"/>
        <w:ind w:firstLine="1134"/>
        <w:rPr>
          <w:rFonts w:ascii="Book Antiqua" w:hAnsi="Book Antiqua"/>
        </w:rPr>
      </w:pPr>
    </w:p>
    <w:p w:rsidR="00537850" w:rsidRDefault="008A7E11" w:rsidP="00131115">
      <w:pPr>
        <w:pStyle w:val="Corpodetexto"/>
        <w:ind w:firstLine="1134"/>
        <w:rPr>
          <w:rFonts w:ascii="Book Antiqua" w:hAnsi="Book Antiqua"/>
        </w:rPr>
      </w:pPr>
      <w:r>
        <w:rPr>
          <w:rFonts w:ascii="Book Antiqua" w:hAnsi="Book Antiqua"/>
        </w:rPr>
        <w:t xml:space="preserve">A </w:t>
      </w:r>
      <w:r w:rsidR="00131115">
        <w:rPr>
          <w:rFonts w:ascii="Book Antiqua" w:hAnsi="Book Antiqua"/>
        </w:rPr>
        <w:t>matéria é de interesse local e não vislumbro</w:t>
      </w:r>
      <w:r w:rsidR="00D9695D">
        <w:rPr>
          <w:rFonts w:ascii="Book Antiqua" w:hAnsi="Book Antiqua"/>
        </w:rPr>
        <w:t xml:space="preserve">, </w:t>
      </w:r>
      <w:r w:rsidR="00D9695D" w:rsidRPr="00D9695D">
        <w:rPr>
          <w:rFonts w:ascii="Book Antiqua" w:hAnsi="Book Antiqua"/>
          <w:i/>
        </w:rPr>
        <w:t>a priori</w:t>
      </w:r>
      <w:r w:rsidR="00D9695D">
        <w:rPr>
          <w:rFonts w:ascii="Book Antiqua" w:hAnsi="Book Antiqua"/>
        </w:rPr>
        <w:t>,</w:t>
      </w:r>
      <w:r w:rsidR="00131115">
        <w:rPr>
          <w:rFonts w:ascii="Book Antiqua" w:hAnsi="Book Antiqua"/>
        </w:rPr>
        <w:t xml:space="preserve"> violação à competência privativa do Chefe do Executivo, seja quanto a iniciativa legislativa, seja quanto a chamada reserva da administração.</w:t>
      </w:r>
      <w:r w:rsidR="00EE1149">
        <w:rPr>
          <w:rFonts w:ascii="Book Antiqua" w:hAnsi="Book Antiqua"/>
        </w:rPr>
        <w:t xml:space="preserve"> Observo, contudo, que a proposta envolve discussão que atualmente está em debate no Poder Judiciário </w:t>
      </w:r>
      <w:r w:rsidR="00537850">
        <w:rPr>
          <w:rFonts w:ascii="Book Antiqua" w:hAnsi="Book Antiqua"/>
        </w:rPr>
        <w:t xml:space="preserve">no processo nº </w:t>
      </w:r>
      <w:r w:rsidR="00537850" w:rsidRPr="00537850">
        <w:rPr>
          <w:rFonts w:ascii="Book Antiqua" w:hAnsi="Book Antiqua"/>
        </w:rPr>
        <w:t>70077010890</w:t>
      </w:r>
      <w:r w:rsidR="00537850">
        <w:rPr>
          <w:rFonts w:ascii="Book Antiqua" w:hAnsi="Book Antiqua"/>
        </w:rPr>
        <w:t xml:space="preserve"> </w:t>
      </w:r>
      <w:r w:rsidR="00EE1149">
        <w:rPr>
          <w:rFonts w:ascii="Book Antiqua" w:hAnsi="Book Antiqua"/>
        </w:rPr>
        <w:t>concernente a constitucionalidade d</w:t>
      </w:r>
      <w:r w:rsidR="00537850">
        <w:rPr>
          <w:rFonts w:ascii="Book Antiqua" w:hAnsi="Book Antiqua"/>
        </w:rPr>
        <w:t>a elevação das multas aqueles que descumprirem o disposto n</w:t>
      </w:r>
      <w:r w:rsidR="00EE1149">
        <w:rPr>
          <w:rFonts w:ascii="Book Antiqua" w:hAnsi="Book Antiqua"/>
        </w:rPr>
        <w:t>o inciso IX do art. 18 do Código de Posturas</w:t>
      </w:r>
      <w:r w:rsidR="00537850">
        <w:rPr>
          <w:rFonts w:ascii="Book Antiqua" w:hAnsi="Book Antiqua"/>
        </w:rPr>
        <w:t xml:space="preserve"> quando </w:t>
      </w:r>
      <w:r w:rsidR="00537850" w:rsidRPr="00537850">
        <w:rPr>
          <w:rFonts w:ascii="Book Antiqua" w:hAnsi="Book Antiqua"/>
        </w:rPr>
        <w:t>se tratar do exercício do direito previsto no inciso no inciso XVI do artigo 5º da Constituição Federal.</w:t>
      </w:r>
      <w:r w:rsidR="00537850">
        <w:rPr>
          <w:rFonts w:ascii="Book Antiqua" w:hAnsi="Book Antiqua"/>
        </w:rPr>
        <w:t xml:space="preserve"> Num primeiro</w:t>
      </w:r>
      <w:r w:rsidR="003B2714">
        <w:rPr>
          <w:rFonts w:ascii="Book Antiqua" w:hAnsi="Book Antiqua"/>
        </w:rPr>
        <w:t xml:space="preserve"> momento</w:t>
      </w:r>
      <w:r w:rsidR="00537850">
        <w:rPr>
          <w:rFonts w:ascii="Book Antiqua" w:hAnsi="Book Antiqua"/>
        </w:rPr>
        <w:t xml:space="preserve">, o órgão especial do TJRS </w:t>
      </w:r>
      <w:r w:rsidR="003B2714">
        <w:rPr>
          <w:rFonts w:ascii="Book Antiqua" w:hAnsi="Book Antiqua"/>
        </w:rPr>
        <w:t>se pronunciou pela constitucionalidade</w:t>
      </w:r>
      <w:r w:rsidR="00537850">
        <w:rPr>
          <w:rFonts w:ascii="Book Antiqua" w:hAnsi="Book Antiqua"/>
        </w:rPr>
        <w:t xml:space="preserve">, sem fazer qualquer exceção ou </w:t>
      </w:r>
      <w:r w:rsidR="003B2714">
        <w:rPr>
          <w:rFonts w:ascii="Book Antiqua" w:hAnsi="Book Antiqua"/>
        </w:rPr>
        <w:t>“</w:t>
      </w:r>
      <w:r w:rsidR="00537850">
        <w:rPr>
          <w:rFonts w:ascii="Book Antiqua" w:hAnsi="Book Antiqua"/>
        </w:rPr>
        <w:t>interpretação conforme</w:t>
      </w:r>
      <w:r w:rsidR="003B2714">
        <w:rPr>
          <w:rFonts w:ascii="Book Antiqua" w:hAnsi="Book Antiqua"/>
        </w:rPr>
        <w:t>”</w:t>
      </w:r>
      <w:r w:rsidR="00537850">
        <w:rPr>
          <w:rFonts w:ascii="Book Antiqua" w:hAnsi="Book Antiqua"/>
        </w:rPr>
        <w:t xml:space="preserve"> sugerida, aliás, por um dos Desembargadores. Transcrevo a seguir trechos do acórdão ainda não transitado em julgado em </w:t>
      </w:r>
      <w:r w:rsidR="003B2714">
        <w:rPr>
          <w:rFonts w:ascii="Book Antiqua" w:hAnsi="Book Antiqua"/>
        </w:rPr>
        <w:t xml:space="preserve">que </w:t>
      </w:r>
      <w:r w:rsidR="00537850">
        <w:rPr>
          <w:rFonts w:ascii="Book Antiqua" w:hAnsi="Book Antiqua"/>
        </w:rPr>
        <w:t>se apresentam duas visões distintas sobre o assunto:</w:t>
      </w:r>
    </w:p>
    <w:p w:rsidR="00537850" w:rsidRDefault="00537850" w:rsidP="00131115">
      <w:pPr>
        <w:pStyle w:val="Corpodetexto"/>
        <w:ind w:firstLine="1134"/>
        <w:rPr>
          <w:rFonts w:ascii="Book Antiqua" w:hAnsi="Book Antiqua"/>
        </w:rPr>
      </w:pPr>
    </w:p>
    <w:p w:rsidR="00537850" w:rsidRDefault="00537850" w:rsidP="00131115">
      <w:pPr>
        <w:pStyle w:val="Corpodetexto"/>
        <w:ind w:firstLine="1134"/>
        <w:rPr>
          <w:rFonts w:ascii="Book Antiqua" w:hAnsi="Book Antiqua"/>
        </w:rPr>
      </w:pPr>
      <w:r>
        <w:rPr>
          <w:rFonts w:ascii="Book Antiqua" w:hAnsi="Book Antiqua"/>
        </w:rPr>
        <w:t xml:space="preserve">Voto do Des. </w:t>
      </w:r>
      <w:r w:rsidR="003B2714" w:rsidRPr="003B2714">
        <w:rPr>
          <w:rFonts w:ascii="Book Antiqua" w:hAnsi="Book Antiqua"/>
        </w:rPr>
        <w:t>ARMINIO JOSÉ ABREU LIMA DA ROSA</w:t>
      </w:r>
      <w:r w:rsidR="003B2714">
        <w:rPr>
          <w:rFonts w:ascii="Book Antiqua" w:hAnsi="Book Antiqua"/>
        </w:rPr>
        <w:t xml:space="preserve"> </w:t>
      </w:r>
    </w:p>
    <w:p w:rsidR="003B2714" w:rsidRDefault="003B2714" w:rsidP="00131115">
      <w:pPr>
        <w:pStyle w:val="Corpodetexto"/>
        <w:ind w:firstLine="1134"/>
        <w:rPr>
          <w:rFonts w:ascii="Book Antiqua" w:hAnsi="Book Antiqua"/>
        </w:rPr>
      </w:pPr>
    </w:p>
    <w:p w:rsidR="003B2714" w:rsidRPr="003B2714" w:rsidRDefault="00946384" w:rsidP="003B2714">
      <w:pPr>
        <w:pStyle w:val="Corpodetexto"/>
        <w:ind w:left="1134" w:firstLine="1134"/>
        <w:rPr>
          <w:rFonts w:asciiTheme="minorHAnsi" w:hAnsiTheme="minorHAnsi"/>
        </w:rPr>
      </w:pPr>
      <w:r>
        <w:rPr>
          <w:rFonts w:asciiTheme="minorHAnsi" w:hAnsiTheme="minorHAnsi"/>
        </w:rPr>
        <w:t>“</w:t>
      </w:r>
      <w:r w:rsidR="003B2714" w:rsidRPr="003B2714">
        <w:rPr>
          <w:rFonts w:asciiTheme="minorHAnsi" w:hAnsiTheme="minorHAnsi"/>
        </w:rPr>
        <w:t>Não se concebe, nesta toada, que possa ser defendida, a que título for, a desordem e o vandalismo, especialmente quando estes representarem entrave à circulação de pessoas e veículos, assim como danos ao patrimônio público e, até, particular, o que em nada interfere com a liberdade do direito de reunião, sabido o pressuposto da sua pacificidade.</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Ou seja, a grande maioria da população tem direito a poder se dirigir aos locais de trabalho, estudo, assistência médica, hospitalar, convívio social e familiar, não se podendo tolerar, v.g., o uso de correntes ou artefatos de proteção para impedir o exercício de um dos mais comezinhos direitos públicos, qual seja, o de ir e vir.</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 xml:space="preserve">Por evidente, diante da busca de servir a sanção a estímulo ao respeito da ordem pública, compreende-se a recalibragem proposta pela lei local, que </w:t>
      </w:r>
      <w:r w:rsidRPr="003B2714">
        <w:rPr>
          <w:rFonts w:asciiTheme="minorHAnsi" w:hAnsiTheme="minorHAnsi"/>
        </w:rPr>
        <w:lastRenderedPageBreak/>
        <w:t>encontra justificativa no passado recente e bens danificados com valor superior ao do apenamento até então previsto.</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Fato recente, greve dos petroleiros, bem revela a necessidade de a sanção pecuniária compulsória deter representativa oneração. Como se sabe, a elevação da multa diária para R$ 2.000.000,00, pelo Tribunal Superior do Trabalho, levou a que fosse respeitada a decisão judicial até então ignorada.</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Importante, ainda, para que se tenha exata noção da realidade econômica, destacar o valor atual, 2018, da UFM: R$ 4,0145.</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Ou seja, as cominações mais gravosas, de 1.000 a 100.000 UFMs, correspondem a valores de R$ 4.014,50 a R$ 401.450,00.</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Como também, estabelecidos parâmetros mínimo e máximo, sempre caberá, no caso de excesso na sua fixação, recurso à via jurisdicional.</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w:t>
      </w:r>
    </w:p>
    <w:p w:rsidR="003B2714" w:rsidRPr="003B2714" w:rsidRDefault="003B2714" w:rsidP="003B2714">
      <w:pPr>
        <w:pStyle w:val="Corpodetexto"/>
        <w:ind w:left="1134" w:firstLine="1134"/>
        <w:rPr>
          <w:rFonts w:asciiTheme="minorHAnsi" w:hAnsiTheme="minorHAnsi"/>
        </w:rPr>
      </w:pPr>
      <w:r w:rsidRPr="003B2714">
        <w:rPr>
          <w:rFonts w:asciiTheme="minorHAnsi" w:hAnsiTheme="minorHAnsi"/>
        </w:rPr>
        <w:t>Por conseguinte, não está nos valores das multas qualquer restrição a algum direito constitucional. Muito menos campo propício à arbitrariedade administrativa.”</w:t>
      </w:r>
    </w:p>
    <w:p w:rsidR="003B2714" w:rsidRDefault="003B2714" w:rsidP="00131115">
      <w:pPr>
        <w:pStyle w:val="Corpodetexto"/>
        <w:ind w:firstLine="1134"/>
        <w:rPr>
          <w:rFonts w:ascii="Book Antiqua" w:hAnsi="Book Antiqua"/>
        </w:rPr>
      </w:pPr>
    </w:p>
    <w:p w:rsidR="003B2714" w:rsidRDefault="003B2714" w:rsidP="00131115">
      <w:pPr>
        <w:pStyle w:val="Corpodetexto"/>
        <w:ind w:firstLine="1134"/>
        <w:rPr>
          <w:rFonts w:ascii="Book Antiqua" w:hAnsi="Book Antiqua"/>
        </w:rPr>
      </w:pPr>
    </w:p>
    <w:p w:rsidR="003B2714" w:rsidRDefault="003B2714" w:rsidP="00131115">
      <w:pPr>
        <w:pStyle w:val="Corpodetexto"/>
        <w:ind w:firstLine="1134"/>
        <w:rPr>
          <w:rFonts w:ascii="Book Antiqua" w:hAnsi="Book Antiqua"/>
        </w:rPr>
      </w:pPr>
    </w:p>
    <w:p w:rsidR="00537850" w:rsidRDefault="00537850" w:rsidP="00131115">
      <w:pPr>
        <w:pStyle w:val="Corpodetexto"/>
        <w:ind w:firstLine="1134"/>
        <w:rPr>
          <w:rFonts w:ascii="Book Antiqua" w:hAnsi="Book Antiqua"/>
        </w:rPr>
      </w:pPr>
      <w:r>
        <w:rPr>
          <w:rFonts w:ascii="Book Antiqua" w:hAnsi="Book Antiqua"/>
        </w:rPr>
        <w:t>Voto Des. R</w:t>
      </w:r>
      <w:r w:rsidR="003B2714">
        <w:rPr>
          <w:rFonts w:ascii="Book Antiqua" w:hAnsi="Book Antiqua"/>
        </w:rPr>
        <w:t>UI PORTANOVA (Voto vencido)</w:t>
      </w:r>
      <w:r>
        <w:rPr>
          <w:rFonts w:ascii="Book Antiqua" w:hAnsi="Book Antiqua"/>
        </w:rPr>
        <w:t>:</w:t>
      </w:r>
    </w:p>
    <w:p w:rsidR="00537850" w:rsidRDefault="00537850" w:rsidP="00131115">
      <w:pPr>
        <w:pStyle w:val="Corpodetexto"/>
        <w:ind w:firstLine="1134"/>
        <w:rPr>
          <w:rFonts w:ascii="Book Antiqua" w:hAnsi="Book Antiqua"/>
        </w:rPr>
      </w:pPr>
    </w:p>
    <w:p w:rsidR="00537850" w:rsidRDefault="00537850" w:rsidP="003B2714">
      <w:pPr>
        <w:pStyle w:val="Corpodetexto"/>
        <w:ind w:left="1134" w:firstLine="1134"/>
        <w:rPr>
          <w:rFonts w:asciiTheme="minorHAnsi" w:hAnsiTheme="minorHAnsi"/>
        </w:rPr>
      </w:pPr>
      <w:r w:rsidRPr="003B2714">
        <w:rPr>
          <w:rFonts w:asciiTheme="minorHAnsi" w:hAnsiTheme="minorHAnsi"/>
        </w:rPr>
        <w:t>Neste rumo, importante ter em conta a abrangência dos atos resguardados pela Constituição na dicção do Supremo Tribunal Federal:</w:t>
      </w:r>
    </w:p>
    <w:p w:rsidR="003B2714" w:rsidRPr="003B2714" w:rsidRDefault="003B2714" w:rsidP="003B2714">
      <w:pPr>
        <w:pStyle w:val="Corpodetexto"/>
        <w:ind w:left="1134" w:firstLine="1134"/>
        <w:rPr>
          <w:rFonts w:asciiTheme="minorHAnsi" w:hAnsiTheme="minorHAnsi"/>
        </w:rPr>
      </w:pPr>
    </w:p>
    <w:p w:rsidR="00537850" w:rsidRPr="003B2714" w:rsidRDefault="00537850" w:rsidP="003B2714">
      <w:pPr>
        <w:pStyle w:val="Corpodetexto"/>
        <w:ind w:left="2268" w:firstLine="1134"/>
        <w:rPr>
          <w:rFonts w:asciiTheme="minorHAnsi" w:hAnsiTheme="minorHAnsi"/>
        </w:rPr>
      </w:pPr>
      <w:r w:rsidRPr="003B2714">
        <w:rPr>
          <w:rFonts w:asciiTheme="minorHAnsi" w:hAnsiTheme="minorHAnsi"/>
        </w:rPr>
        <w:t>“A liberdade de reunião como pré-condição necessária à ativa participação dos cidadãos no processo político e no de tomada de decisões no âmbito do aparelho de Estado. Consequente legitimidade, sob perspectiva estritamente constitucional, de assembleias, reuniões, marchas, passeatas ou encontros coletivos realizados em espaços públicos (ou privados) com o objetivo de obter apoio para oferecimento de projetos de lei, de iniciativa popular, de criticar modelos normativos em vigor, de exercer o direito de petição e de promover atos de proselitismo em favor das posições sustentadas pelos manifestantes e participantes de reunião. Estrutura constitucional do direito fundamental de reunião pacífica e oponibilidade de seu exercício ao poder público e aos seus agentes. Vinculação de caráter instrumental entre a liberdade de reunião e a liberdade de manifestação do pensamento. Dois importantes precedentes do STF sobre a íntima correlação entre referidas liberdades fundamentais” HC 4.781/BA, rel. min. Edmundo Lins, e ADI 1.969/DF, rel. min. Ricardo Lewandowski.</w:t>
      </w:r>
    </w:p>
    <w:p w:rsidR="003B2714" w:rsidRDefault="003B2714" w:rsidP="003B2714">
      <w:pPr>
        <w:pStyle w:val="Corpodetexto"/>
        <w:ind w:left="1134" w:firstLine="1134"/>
        <w:rPr>
          <w:rFonts w:asciiTheme="minorHAnsi" w:hAnsiTheme="minorHAnsi"/>
        </w:rPr>
      </w:pPr>
    </w:p>
    <w:p w:rsidR="00537850" w:rsidRPr="003B2714" w:rsidRDefault="00537850" w:rsidP="003B2714">
      <w:pPr>
        <w:pStyle w:val="Corpodetexto"/>
        <w:ind w:left="1134" w:firstLine="1134"/>
        <w:rPr>
          <w:rFonts w:asciiTheme="minorHAnsi" w:hAnsiTheme="minorHAnsi"/>
        </w:rPr>
      </w:pPr>
      <w:r w:rsidRPr="003B2714">
        <w:rPr>
          <w:rFonts w:asciiTheme="minorHAnsi" w:hAnsiTheme="minorHAnsi"/>
        </w:rPr>
        <w:t>Tanto quanto alcanço, silenciar – aqui e agora – sobre a interpretação desta questão é permitir – indiretamente – que o Poder</w:t>
      </w:r>
      <w:r w:rsidRPr="003B2714">
        <w:rPr>
          <w:rFonts w:asciiTheme="minorHAnsi" w:hAnsiTheme="minorHAnsi"/>
        </w:rPr>
        <w:t xml:space="preserve"> </w:t>
      </w:r>
      <w:r w:rsidRPr="003B2714">
        <w:rPr>
          <w:rFonts w:asciiTheme="minorHAnsi" w:hAnsiTheme="minorHAnsi"/>
        </w:rPr>
        <w:t>Executivo Municipal – também indiretamente - crie obstáculos ao direito constitucional de reunião.</w:t>
      </w:r>
    </w:p>
    <w:p w:rsidR="00537850" w:rsidRPr="003B2714" w:rsidRDefault="00537850" w:rsidP="003B2714">
      <w:pPr>
        <w:pStyle w:val="Corpodetexto"/>
        <w:ind w:left="1134" w:firstLine="1134"/>
        <w:rPr>
          <w:rFonts w:asciiTheme="minorHAnsi" w:hAnsiTheme="minorHAnsi"/>
        </w:rPr>
      </w:pPr>
      <w:r w:rsidRPr="003B2714">
        <w:rPr>
          <w:rFonts w:asciiTheme="minorHAnsi" w:hAnsiTheme="minorHAnsi"/>
        </w:rPr>
        <w:t>No que diz com a peculiaridade prevista na lei municipal quando fala em “embaraçar ou impedir, por qualquer meio, o livre trânsito de pedestres ou veículos nos logradouros públicos” , vale como resposta, aquilo que veio referido em voto pelo Ministro Ricardo Lewandowski</w:t>
      </w:r>
    </w:p>
    <w:p w:rsidR="003B2714" w:rsidRDefault="003B2714" w:rsidP="003B2714">
      <w:pPr>
        <w:pStyle w:val="Corpodetexto"/>
        <w:ind w:left="2410" w:firstLine="1134"/>
        <w:rPr>
          <w:rFonts w:asciiTheme="minorHAnsi" w:hAnsiTheme="minorHAnsi"/>
        </w:rPr>
      </w:pPr>
    </w:p>
    <w:p w:rsidR="00537850" w:rsidRDefault="00537850" w:rsidP="003B2714">
      <w:pPr>
        <w:pStyle w:val="Corpodetexto"/>
        <w:ind w:left="2410" w:firstLine="1134"/>
        <w:rPr>
          <w:rFonts w:asciiTheme="minorHAnsi" w:hAnsiTheme="minorHAnsi"/>
        </w:rPr>
      </w:pPr>
      <w:r w:rsidRPr="003B2714">
        <w:rPr>
          <w:rFonts w:asciiTheme="minorHAnsi" w:hAnsiTheme="minorHAnsi"/>
        </w:rPr>
        <w:t>“Ademais, analisando-se a questão sob uma ótica pragmática, cumpre considerar que as reuniões devem ser, segundo dicção constitucional, previamente comunicadas às autoridades competentes, que haverão de organizá-las de modo a não inviabilizar o fluxo de pessoas e veículos pela vias públicas...” (ADI 1.969-4).</w:t>
      </w:r>
    </w:p>
    <w:p w:rsidR="003B2714" w:rsidRPr="003B2714" w:rsidRDefault="003B2714" w:rsidP="003B2714">
      <w:pPr>
        <w:pStyle w:val="Corpodetexto"/>
        <w:ind w:left="2410" w:firstLine="1134"/>
        <w:rPr>
          <w:rFonts w:asciiTheme="minorHAnsi" w:hAnsiTheme="minorHAnsi"/>
        </w:rPr>
      </w:pPr>
    </w:p>
    <w:p w:rsidR="00537850" w:rsidRPr="003B2714" w:rsidRDefault="00537850" w:rsidP="003B2714">
      <w:pPr>
        <w:pStyle w:val="Corpodetexto"/>
        <w:ind w:left="1134" w:firstLine="1134"/>
        <w:rPr>
          <w:rFonts w:asciiTheme="minorHAnsi" w:hAnsiTheme="minorHAnsi"/>
        </w:rPr>
      </w:pPr>
      <w:r w:rsidRPr="003B2714">
        <w:rPr>
          <w:rFonts w:asciiTheme="minorHAnsi" w:hAnsiTheme="minorHAnsi"/>
        </w:rPr>
        <w:t>Enfim, para situações como estas que se apresentam na presente ação, o sistema viabiliza a esta Corte a técnica da interpretação conforme.</w:t>
      </w:r>
    </w:p>
    <w:p w:rsidR="00537850" w:rsidRPr="003B2714" w:rsidRDefault="00537850" w:rsidP="003B2714">
      <w:pPr>
        <w:pStyle w:val="Corpodetexto"/>
        <w:ind w:left="1134" w:firstLine="1134"/>
        <w:rPr>
          <w:rFonts w:asciiTheme="minorHAnsi" w:hAnsiTheme="minorHAnsi"/>
        </w:rPr>
      </w:pPr>
      <w:r w:rsidRPr="003B2714">
        <w:rPr>
          <w:rFonts w:asciiTheme="minorHAnsi" w:hAnsiTheme="minorHAnsi"/>
        </w:rPr>
        <w:t>(...)</w:t>
      </w:r>
    </w:p>
    <w:p w:rsidR="00131115" w:rsidRPr="003B2714" w:rsidRDefault="00537850" w:rsidP="003B2714">
      <w:pPr>
        <w:pStyle w:val="Corpodetexto"/>
        <w:ind w:left="1134" w:firstLine="1134"/>
        <w:rPr>
          <w:rFonts w:asciiTheme="minorHAnsi" w:hAnsiTheme="minorHAnsi"/>
        </w:rPr>
      </w:pPr>
      <w:r w:rsidRPr="003B2714">
        <w:rPr>
          <w:rFonts w:asciiTheme="minorHAnsi" w:hAnsiTheme="minorHAnsi"/>
        </w:rPr>
        <w:t>Nesse passo, rogando vênia, estou votando no sentido de acolher parcialmente o pedido para dar interpretação conforme ao Artigo 13 da Lei Complementar n. 832/2018 do Município de Porto Alegre que fez alteração no inciso IX do Artigo 18 da Lei Complementar nº 12, de 1975 aqui em debate no sentido de que a referência as multas previstas ao ato de “embaraçar ou impedir, por qualquer meio, o livre trânsito de pedestres ou veículos nos logradouros públicos” não se aplicam quando se tratar do exercício do direito previsto no inciso no inciso XVI do artigo 5º da Constituição Federal.</w:t>
      </w:r>
      <w:r w:rsidR="003B2714">
        <w:rPr>
          <w:rFonts w:asciiTheme="minorHAnsi" w:hAnsiTheme="minorHAnsi"/>
        </w:rPr>
        <w:t>”</w:t>
      </w:r>
    </w:p>
    <w:p w:rsidR="008A7E11" w:rsidRPr="00C66E80" w:rsidRDefault="00131115" w:rsidP="00131115">
      <w:pPr>
        <w:pStyle w:val="Corpodetexto"/>
        <w:ind w:firstLine="1134"/>
        <w:rPr>
          <w:rFonts w:ascii="Book Antiqua" w:hAnsi="Book Antiqua"/>
        </w:rPr>
      </w:pPr>
      <w:r w:rsidRPr="00C66E80">
        <w:rPr>
          <w:rFonts w:ascii="Book Antiqua" w:hAnsi="Book Antiqua"/>
        </w:rPr>
        <w:t xml:space="preserve"> </w:t>
      </w:r>
    </w:p>
    <w:p w:rsidR="00946384" w:rsidRDefault="00946384" w:rsidP="00C66E80">
      <w:pPr>
        <w:ind w:firstLine="1134"/>
        <w:jc w:val="both"/>
        <w:rPr>
          <w:rFonts w:ascii="Book Antiqua" w:hAnsi="Book Antiqua" w:cs="Arial"/>
        </w:rPr>
      </w:pPr>
    </w:p>
    <w:p w:rsidR="00946384" w:rsidRDefault="00946384" w:rsidP="00C66E80">
      <w:pPr>
        <w:ind w:firstLine="1134"/>
        <w:jc w:val="both"/>
        <w:rPr>
          <w:rFonts w:ascii="Book Antiqua" w:hAnsi="Book Antiqua" w:cs="Arial"/>
        </w:rPr>
      </w:pPr>
      <w:r>
        <w:rPr>
          <w:rFonts w:ascii="Book Antiqua" w:hAnsi="Book Antiqua" w:cs="Arial"/>
        </w:rPr>
        <w:t xml:space="preserve">Verifica-se, assim, que o projeto de lei vai no mesmo sentido do voto do Des. Rui Portanova, de excepcionar a aplicação da multa quando se tratar do exercício do direito de reunião do inciso XVI do art. 5º da CF. Penso que de fato </w:t>
      </w:r>
      <w:r w:rsidRPr="005F6978">
        <w:rPr>
          <w:rFonts w:ascii="Book Antiqua" w:hAnsi="Book Antiqua" w:cs="Arial"/>
          <w:u w:val="single"/>
        </w:rPr>
        <w:t>algum embaraço ao trânsito de pedestres ou veículos há de ser tolerado e está compreendido, com efeito, no direito de reunião, mas não o impedimento total do direito de ir e vir</w:t>
      </w:r>
      <w:r w:rsidRPr="00946384">
        <w:rPr>
          <w:rFonts w:ascii="Book Antiqua" w:hAnsi="Book Antiqua" w:cs="Arial"/>
        </w:rPr>
        <w:t>.</w:t>
      </w:r>
    </w:p>
    <w:p w:rsidR="00946384" w:rsidRDefault="00946384" w:rsidP="00C66E80">
      <w:pPr>
        <w:ind w:firstLine="1134"/>
        <w:jc w:val="both"/>
        <w:rPr>
          <w:rFonts w:ascii="Book Antiqua" w:hAnsi="Book Antiqua" w:cs="Arial"/>
        </w:rPr>
      </w:pPr>
    </w:p>
    <w:p w:rsidR="00946384" w:rsidRDefault="00946384" w:rsidP="00C66E80">
      <w:pPr>
        <w:ind w:firstLine="1134"/>
        <w:jc w:val="both"/>
        <w:rPr>
          <w:rFonts w:ascii="Book Antiqua" w:hAnsi="Book Antiqua" w:cs="Arial"/>
        </w:rPr>
      </w:pPr>
      <w:r>
        <w:rPr>
          <w:rFonts w:ascii="Book Antiqua" w:hAnsi="Book Antiqua" w:cs="Arial"/>
        </w:rPr>
        <w:t>É que nos parece relevante observar em tema tão tormentoso.</w:t>
      </w:r>
    </w:p>
    <w:p w:rsidR="00BA7302" w:rsidRDefault="00946384" w:rsidP="00C66E80">
      <w:pPr>
        <w:ind w:firstLine="1134"/>
        <w:jc w:val="both"/>
        <w:rPr>
          <w:rFonts w:ascii="Book Antiqua" w:hAnsi="Book Antiqua" w:cs="Arial"/>
        </w:rPr>
      </w:pPr>
      <w:r>
        <w:rPr>
          <w:rFonts w:ascii="Book Antiqua" w:hAnsi="Book Antiqua" w:cs="Arial"/>
        </w:rPr>
        <w:t xml:space="preserve"> </w:t>
      </w:r>
    </w:p>
    <w:p w:rsidR="00C66E80" w:rsidRPr="00C66E80" w:rsidRDefault="00C66E80" w:rsidP="00C66E80">
      <w:pPr>
        <w:ind w:firstLine="1134"/>
        <w:jc w:val="both"/>
        <w:rPr>
          <w:rFonts w:ascii="Book Antiqua" w:hAnsi="Book Antiqua" w:cs="Arial"/>
        </w:rPr>
      </w:pPr>
      <w:r w:rsidRPr="00C66E80">
        <w:rPr>
          <w:rFonts w:ascii="Book Antiqua" w:hAnsi="Book Antiqua" w:cs="Arial"/>
        </w:rPr>
        <w:t>É o parecer.</w:t>
      </w:r>
    </w:p>
    <w:p w:rsidR="00D85F58" w:rsidRPr="00C66E80" w:rsidRDefault="00C66E80" w:rsidP="00D309BE">
      <w:pPr>
        <w:ind w:firstLine="1134"/>
        <w:jc w:val="both"/>
        <w:rPr>
          <w:rFonts w:ascii="Book Antiqua" w:hAnsi="Book Antiqua" w:cs="Arial"/>
        </w:rPr>
      </w:pPr>
      <w:r w:rsidRPr="00C66E80">
        <w:rPr>
          <w:rFonts w:ascii="Book Antiqua" w:hAnsi="Book Antiqua" w:cs="Arial"/>
        </w:rPr>
        <w:t xml:space="preserve">  </w:t>
      </w:r>
    </w:p>
    <w:p w:rsidR="00D309BE" w:rsidRPr="00C66E80" w:rsidRDefault="00D309BE" w:rsidP="00D309BE">
      <w:pPr>
        <w:pStyle w:val="Corpodetexto"/>
        <w:ind w:firstLine="1134"/>
        <w:rPr>
          <w:rFonts w:ascii="Book Antiqua" w:hAnsi="Book Antiqua"/>
        </w:rPr>
      </w:pPr>
      <w:r w:rsidRPr="00C66E80">
        <w:rPr>
          <w:rFonts w:ascii="Book Antiqua" w:hAnsi="Book Antiqua"/>
        </w:rPr>
        <w:t xml:space="preserve">Em </w:t>
      </w:r>
      <w:r w:rsidR="00E266E9" w:rsidRPr="00C66E80">
        <w:rPr>
          <w:rFonts w:ascii="Book Antiqua" w:hAnsi="Book Antiqua"/>
        </w:rPr>
        <w:t xml:space="preserve"> </w:t>
      </w:r>
      <w:r w:rsidR="00131115">
        <w:rPr>
          <w:rFonts w:ascii="Book Antiqua" w:hAnsi="Book Antiqua"/>
        </w:rPr>
        <w:t>1</w:t>
      </w:r>
      <w:r w:rsidR="00946384">
        <w:rPr>
          <w:rFonts w:ascii="Book Antiqua" w:hAnsi="Book Antiqua"/>
        </w:rPr>
        <w:t>5</w:t>
      </w:r>
      <w:r w:rsidR="00D85F58" w:rsidRPr="00C66E80">
        <w:rPr>
          <w:rFonts w:ascii="Book Antiqua" w:hAnsi="Book Antiqua"/>
        </w:rPr>
        <w:t xml:space="preserve"> </w:t>
      </w:r>
      <w:r w:rsidR="008A7E11">
        <w:rPr>
          <w:rFonts w:ascii="Book Antiqua" w:hAnsi="Book Antiqua"/>
        </w:rPr>
        <w:t>dezembro</w:t>
      </w:r>
      <w:r w:rsidRPr="00C66E80">
        <w:rPr>
          <w:rFonts w:ascii="Book Antiqua" w:hAnsi="Book Antiqua"/>
        </w:rPr>
        <w:t xml:space="preserve"> de 201</w:t>
      </w:r>
      <w:r w:rsidR="005401E8" w:rsidRPr="00C66E80">
        <w:rPr>
          <w:rFonts w:ascii="Book Antiqua" w:hAnsi="Book Antiqua"/>
        </w:rPr>
        <w:t>8</w:t>
      </w:r>
      <w:r w:rsidRPr="00C66E80">
        <w:rPr>
          <w:rFonts w:ascii="Book Antiqua" w:hAnsi="Book Antiqua"/>
        </w:rPr>
        <w:t>.</w:t>
      </w:r>
    </w:p>
    <w:p w:rsidR="00D309BE" w:rsidRPr="00C66E80" w:rsidRDefault="00D309BE" w:rsidP="00D309BE">
      <w:pPr>
        <w:pStyle w:val="Corpodetexto"/>
        <w:ind w:firstLine="1134"/>
        <w:rPr>
          <w:rFonts w:ascii="Book Antiqua" w:hAnsi="Book Antiqua"/>
        </w:rPr>
      </w:pPr>
    </w:p>
    <w:p w:rsidR="00D309BE" w:rsidRPr="00C66E80" w:rsidRDefault="00D309BE" w:rsidP="00D309BE">
      <w:pPr>
        <w:pStyle w:val="Corpodetexto"/>
        <w:ind w:firstLine="1134"/>
        <w:rPr>
          <w:rFonts w:ascii="Book Antiqua" w:hAnsi="Book Antiqua"/>
        </w:rPr>
      </w:pPr>
    </w:p>
    <w:p w:rsidR="00D309BE" w:rsidRPr="00C66E80" w:rsidRDefault="00D309BE" w:rsidP="00D309BE">
      <w:pPr>
        <w:pStyle w:val="Corpodetexto"/>
        <w:ind w:firstLine="1134"/>
        <w:rPr>
          <w:rFonts w:ascii="Book Antiqua" w:hAnsi="Book Antiqua"/>
        </w:rPr>
      </w:pPr>
    </w:p>
    <w:p w:rsidR="00D309BE" w:rsidRPr="00C66E80" w:rsidRDefault="00D85F58" w:rsidP="00D309BE">
      <w:pPr>
        <w:ind w:firstLine="1134"/>
        <w:rPr>
          <w:rFonts w:ascii="Book Antiqua" w:hAnsi="Book Antiqua" w:cs="Arial"/>
        </w:rPr>
      </w:pPr>
      <w:r w:rsidRPr="00C66E80">
        <w:rPr>
          <w:rFonts w:ascii="Book Antiqua" w:hAnsi="Book Antiqua" w:cs="Arial"/>
        </w:rPr>
        <w:t>Fábio Nyland</w:t>
      </w:r>
    </w:p>
    <w:p w:rsidR="00D85F58" w:rsidRPr="00C66E80" w:rsidRDefault="00D85F58" w:rsidP="00D309BE">
      <w:pPr>
        <w:ind w:firstLine="1134"/>
        <w:rPr>
          <w:rFonts w:ascii="Book Antiqua" w:hAnsi="Book Antiqua" w:cs="Arial"/>
        </w:rPr>
      </w:pPr>
      <w:r w:rsidRPr="00C66E80">
        <w:rPr>
          <w:rFonts w:ascii="Book Antiqua" w:hAnsi="Book Antiqua" w:cs="Arial"/>
        </w:rPr>
        <w:t>Procurador</w:t>
      </w:r>
      <w:r w:rsidR="00570C6C" w:rsidRPr="00C66E80">
        <w:rPr>
          <w:rFonts w:ascii="Book Antiqua" w:hAnsi="Book Antiqua" w:cs="Arial"/>
        </w:rPr>
        <w:t xml:space="preserve"> - Geral</w:t>
      </w:r>
    </w:p>
    <w:p w:rsidR="00F4209E" w:rsidRPr="00C66E80" w:rsidRDefault="00D85F58" w:rsidP="00D94B98">
      <w:pPr>
        <w:ind w:firstLine="1134"/>
        <w:rPr>
          <w:rFonts w:ascii="Book Antiqua" w:hAnsi="Book Antiqua"/>
        </w:rPr>
      </w:pPr>
      <w:r w:rsidRPr="00C66E80">
        <w:rPr>
          <w:rFonts w:ascii="Book Antiqua" w:hAnsi="Book Antiqua" w:cs="Arial"/>
        </w:rPr>
        <w:t>OAB/RS 50.325</w:t>
      </w:r>
    </w:p>
    <w:sectPr w:rsidR="00F4209E" w:rsidRPr="00C66E80" w:rsidSect="001C27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4B" w:rsidRDefault="00A40F4B" w:rsidP="002F6E27">
      <w:r>
        <w:separator/>
      </w:r>
    </w:p>
  </w:endnote>
  <w:endnote w:type="continuationSeparator" w:id="0">
    <w:p w:rsidR="00A40F4B" w:rsidRDefault="00A40F4B" w:rsidP="002F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4B" w:rsidRDefault="00A40F4B" w:rsidP="002F6E27">
      <w:r>
        <w:separator/>
      </w:r>
    </w:p>
  </w:footnote>
  <w:footnote w:type="continuationSeparator" w:id="0">
    <w:p w:rsidR="00A40F4B" w:rsidRDefault="00A40F4B" w:rsidP="002F6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BE"/>
    <w:rsid w:val="000B442C"/>
    <w:rsid w:val="000B4789"/>
    <w:rsid w:val="00131115"/>
    <w:rsid w:val="00186440"/>
    <w:rsid w:val="00195618"/>
    <w:rsid w:val="001C2727"/>
    <w:rsid w:val="00212D8A"/>
    <w:rsid w:val="00270082"/>
    <w:rsid w:val="00297BC2"/>
    <w:rsid w:val="002B34DD"/>
    <w:rsid w:val="002C427B"/>
    <w:rsid w:val="002F6E27"/>
    <w:rsid w:val="00370C2D"/>
    <w:rsid w:val="00393E2C"/>
    <w:rsid w:val="003B2714"/>
    <w:rsid w:val="00406F19"/>
    <w:rsid w:val="00407303"/>
    <w:rsid w:val="00410C6F"/>
    <w:rsid w:val="0042778D"/>
    <w:rsid w:val="00443D88"/>
    <w:rsid w:val="004F72AE"/>
    <w:rsid w:val="00537850"/>
    <w:rsid w:val="005401E8"/>
    <w:rsid w:val="00552136"/>
    <w:rsid w:val="00563619"/>
    <w:rsid w:val="00570C6C"/>
    <w:rsid w:val="00590C2B"/>
    <w:rsid w:val="005D131F"/>
    <w:rsid w:val="005E6FD0"/>
    <w:rsid w:val="005F56B4"/>
    <w:rsid w:val="005F6978"/>
    <w:rsid w:val="00664488"/>
    <w:rsid w:val="00753A44"/>
    <w:rsid w:val="00792DE2"/>
    <w:rsid w:val="00870758"/>
    <w:rsid w:val="00875A13"/>
    <w:rsid w:val="008A7E11"/>
    <w:rsid w:val="00946384"/>
    <w:rsid w:val="009E2211"/>
    <w:rsid w:val="009F1FA1"/>
    <w:rsid w:val="00A375CD"/>
    <w:rsid w:val="00A40F4B"/>
    <w:rsid w:val="00AF146B"/>
    <w:rsid w:val="00B15988"/>
    <w:rsid w:val="00B1646C"/>
    <w:rsid w:val="00B45748"/>
    <w:rsid w:val="00B55076"/>
    <w:rsid w:val="00B73E3A"/>
    <w:rsid w:val="00BA7302"/>
    <w:rsid w:val="00C66E80"/>
    <w:rsid w:val="00CC09E8"/>
    <w:rsid w:val="00D309BE"/>
    <w:rsid w:val="00D85F58"/>
    <w:rsid w:val="00D94B98"/>
    <w:rsid w:val="00D9695D"/>
    <w:rsid w:val="00DB0A6C"/>
    <w:rsid w:val="00DD47A4"/>
    <w:rsid w:val="00DD4D6A"/>
    <w:rsid w:val="00E038D4"/>
    <w:rsid w:val="00E266E9"/>
    <w:rsid w:val="00EE1149"/>
    <w:rsid w:val="00F77760"/>
    <w:rsid w:val="00F86590"/>
    <w:rsid w:val="00FB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F1D5-7CAF-493A-9898-DB6B38A9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B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309BE"/>
    <w:pPr>
      <w:keepNext/>
      <w:outlineLvl w:val="0"/>
    </w:pPr>
    <w:rPr>
      <w:b/>
      <w:sz w:val="28"/>
      <w:szCs w:val="20"/>
    </w:rPr>
  </w:style>
  <w:style w:type="paragraph" w:styleId="Ttulo2">
    <w:name w:val="heading 2"/>
    <w:basedOn w:val="Normal"/>
    <w:next w:val="Normal"/>
    <w:link w:val="Ttulo2Char"/>
    <w:semiHidden/>
    <w:unhideWhenUsed/>
    <w:qFormat/>
    <w:rsid w:val="00D309BE"/>
    <w:pPr>
      <w:keepNext/>
      <w:ind w:left="4536"/>
      <w:outlineLvl w:val="1"/>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09BE"/>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semiHidden/>
    <w:rsid w:val="00D309BE"/>
    <w:rPr>
      <w:rFonts w:ascii="Arial" w:eastAsia="Times New Roman" w:hAnsi="Arial" w:cs="Arial"/>
      <w:b/>
      <w:sz w:val="24"/>
      <w:szCs w:val="24"/>
      <w:lang w:eastAsia="pt-BR"/>
    </w:rPr>
  </w:style>
  <w:style w:type="paragraph" w:styleId="Cabealho">
    <w:name w:val="header"/>
    <w:basedOn w:val="Normal"/>
    <w:link w:val="CabealhoChar"/>
    <w:semiHidden/>
    <w:unhideWhenUsed/>
    <w:rsid w:val="00D309BE"/>
    <w:pPr>
      <w:tabs>
        <w:tab w:val="center" w:pos="4153"/>
        <w:tab w:val="right" w:pos="8306"/>
      </w:tabs>
    </w:pPr>
    <w:rPr>
      <w:szCs w:val="20"/>
    </w:rPr>
  </w:style>
  <w:style w:type="character" w:customStyle="1" w:styleId="CabealhoChar">
    <w:name w:val="Cabeçalho Char"/>
    <w:basedOn w:val="Fontepargpadro"/>
    <w:link w:val="Cabealho"/>
    <w:semiHidden/>
    <w:rsid w:val="00D309BE"/>
    <w:rPr>
      <w:rFonts w:ascii="Times New Roman" w:eastAsia="Times New Roman" w:hAnsi="Times New Roman" w:cs="Times New Roman"/>
      <w:sz w:val="24"/>
      <w:szCs w:val="20"/>
      <w:lang w:eastAsia="pt-BR"/>
    </w:rPr>
  </w:style>
  <w:style w:type="paragraph" w:styleId="Corpodetexto">
    <w:name w:val="Body Text"/>
    <w:basedOn w:val="Normal"/>
    <w:link w:val="CorpodetextoChar"/>
    <w:unhideWhenUsed/>
    <w:rsid w:val="00D309BE"/>
    <w:pPr>
      <w:jc w:val="both"/>
    </w:pPr>
    <w:rPr>
      <w:rFonts w:ascii="Arial" w:hAnsi="Arial" w:cs="Arial"/>
    </w:rPr>
  </w:style>
  <w:style w:type="character" w:customStyle="1" w:styleId="CorpodetextoChar">
    <w:name w:val="Corpo de texto Char"/>
    <w:basedOn w:val="Fontepargpadro"/>
    <w:link w:val="Corpodetexto"/>
    <w:rsid w:val="00D309BE"/>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B73E3A"/>
    <w:rPr>
      <w:rFonts w:ascii="Segoe UI" w:hAnsi="Segoe UI" w:cs="Segoe UI"/>
      <w:sz w:val="18"/>
      <w:szCs w:val="18"/>
    </w:rPr>
  </w:style>
  <w:style w:type="character" w:customStyle="1" w:styleId="TextodebaloChar">
    <w:name w:val="Texto de balão Char"/>
    <w:basedOn w:val="Fontepargpadro"/>
    <w:link w:val="Textodebalo"/>
    <w:uiPriority w:val="99"/>
    <w:semiHidden/>
    <w:rsid w:val="00B73E3A"/>
    <w:rPr>
      <w:rFonts w:ascii="Segoe UI" w:eastAsia="Times New Roman" w:hAnsi="Segoe UI" w:cs="Segoe UI"/>
      <w:sz w:val="18"/>
      <w:szCs w:val="18"/>
      <w:lang w:eastAsia="pt-BR"/>
    </w:rPr>
  </w:style>
  <w:style w:type="paragraph" w:styleId="NormalWeb">
    <w:name w:val="Normal (Web)"/>
    <w:basedOn w:val="Normal"/>
    <w:uiPriority w:val="99"/>
    <w:semiHidden/>
    <w:unhideWhenUsed/>
    <w:rsid w:val="00186440"/>
    <w:pPr>
      <w:spacing w:before="100" w:beforeAutospacing="1" w:after="100" w:afterAutospacing="1"/>
    </w:pPr>
  </w:style>
  <w:style w:type="character" w:styleId="Hyperlink">
    <w:name w:val="Hyperlink"/>
    <w:basedOn w:val="Fontepargpadro"/>
    <w:uiPriority w:val="99"/>
    <w:semiHidden/>
    <w:unhideWhenUsed/>
    <w:rsid w:val="00186440"/>
    <w:rPr>
      <w:color w:val="0000FF"/>
      <w:u w:val="single"/>
    </w:rPr>
  </w:style>
  <w:style w:type="paragraph" w:styleId="Textodenotaderodap">
    <w:name w:val="footnote text"/>
    <w:basedOn w:val="Normal"/>
    <w:link w:val="TextodenotaderodapChar"/>
    <w:uiPriority w:val="99"/>
    <w:semiHidden/>
    <w:unhideWhenUsed/>
    <w:rsid w:val="002F6E27"/>
    <w:rPr>
      <w:sz w:val="20"/>
      <w:szCs w:val="20"/>
    </w:rPr>
  </w:style>
  <w:style w:type="character" w:customStyle="1" w:styleId="TextodenotaderodapChar">
    <w:name w:val="Texto de nota de rodapé Char"/>
    <w:basedOn w:val="Fontepargpadro"/>
    <w:link w:val="Textodenotaderodap"/>
    <w:uiPriority w:val="99"/>
    <w:semiHidden/>
    <w:rsid w:val="002F6E2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F6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760">
      <w:bodyDiv w:val="1"/>
      <w:marLeft w:val="0"/>
      <w:marRight w:val="0"/>
      <w:marTop w:val="0"/>
      <w:marBottom w:val="0"/>
      <w:divBdr>
        <w:top w:val="none" w:sz="0" w:space="0" w:color="auto"/>
        <w:left w:val="none" w:sz="0" w:space="0" w:color="auto"/>
        <w:bottom w:val="none" w:sz="0" w:space="0" w:color="auto"/>
        <w:right w:val="none" w:sz="0" w:space="0" w:color="auto"/>
      </w:divBdr>
    </w:div>
    <w:div w:id="372268565">
      <w:bodyDiv w:val="1"/>
      <w:marLeft w:val="0"/>
      <w:marRight w:val="0"/>
      <w:marTop w:val="0"/>
      <w:marBottom w:val="0"/>
      <w:divBdr>
        <w:top w:val="none" w:sz="0" w:space="0" w:color="auto"/>
        <w:left w:val="none" w:sz="0" w:space="0" w:color="auto"/>
        <w:bottom w:val="none" w:sz="0" w:space="0" w:color="auto"/>
        <w:right w:val="none" w:sz="0" w:space="0" w:color="auto"/>
      </w:divBdr>
    </w:div>
    <w:div w:id="647243503">
      <w:bodyDiv w:val="1"/>
      <w:marLeft w:val="0"/>
      <w:marRight w:val="0"/>
      <w:marTop w:val="0"/>
      <w:marBottom w:val="0"/>
      <w:divBdr>
        <w:top w:val="none" w:sz="0" w:space="0" w:color="auto"/>
        <w:left w:val="none" w:sz="0" w:space="0" w:color="auto"/>
        <w:bottom w:val="none" w:sz="0" w:space="0" w:color="auto"/>
        <w:right w:val="none" w:sz="0" w:space="0" w:color="auto"/>
      </w:divBdr>
    </w:div>
    <w:div w:id="661129435">
      <w:bodyDiv w:val="1"/>
      <w:marLeft w:val="0"/>
      <w:marRight w:val="0"/>
      <w:marTop w:val="0"/>
      <w:marBottom w:val="0"/>
      <w:divBdr>
        <w:top w:val="none" w:sz="0" w:space="0" w:color="auto"/>
        <w:left w:val="none" w:sz="0" w:space="0" w:color="auto"/>
        <w:bottom w:val="none" w:sz="0" w:space="0" w:color="auto"/>
        <w:right w:val="none" w:sz="0" w:space="0" w:color="auto"/>
      </w:divBdr>
    </w:div>
    <w:div w:id="15429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F83F-B30A-49EF-A3FE-1A603540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1060</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Fabio Nyland</cp:lastModifiedBy>
  <cp:revision>4</cp:revision>
  <cp:lastPrinted>2018-12-12T16:46:00Z</cp:lastPrinted>
  <dcterms:created xsi:type="dcterms:W3CDTF">2018-12-14T20:39:00Z</dcterms:created>
  <dcterms:modified xsi:type="dcterms:W3CDTF">2018-12-14T21:20:00Z</dcterms:modified>
</cp:coreProperties>
</file>