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590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87BAED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EF88F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66F054" w14:textId="46306985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A Lei nº 8.203, de 10 de setembro de 1998, que constitui o objeto da presente </w:t>
      </w:r>
      <w:r w:rsidR="00A74AE4">
        <w:rPr>
          <w:rFonts w:eastAsia="Calibri"/>
          <w:lang w:eastAsia="en-US"/>
        </w:rPr>
        <w:t>P</w:t>
      </w:r>
      <w:r w:rsidRPr="001B2B59">
        <w:rPr>
          <w:rFonts w:eastAsia="Calibri"/>
          <w:lang w:eastAsia="en-US"/>
        </w:rPr>
        <w:t xml:space="preserve">roposta de revogação, determina que todos os </w:t>
      </w:r>
      <w:r w:rsidRPr="00FE572F">
        <w:rPr>
          <w:rFonts w:eastAsia="Calibri"/>
          <w:i/>
          <w:lang w:eastAsia="en-US"/>
        </w:rPr>
        <w:t>shows</w:t>
      </w:r>
      <w:r w:rsidRPr="001B2B59">
        <w:rPr>
          <w:rFonts w:eastAsia="Calibri"/>
          <w:lang w:eastAsia="en-US"/>
        </w:rPr>
        <w:t xml:space="preserve"> de cantores ou conjuntos internacionais que ocorram em Porto Alegre, com público superior a 2.000 pessoas, deverão ter sua</w:t>
      </w:r>
      <w:r w:rsidR="000912C8">
        <w:rPr>
          <w:rFonts w:eastAsia="Calibri"/>
          <w:lang w:eastAsia="en-US"/>
        </w:rPr>
        <w:t>s</w:t>
      </w:r>
      <w:r w:rsidRPr="001B2B59">
        <w:rPr>
          <w:rFonts w:eastAsia="Calibri"/>
          <w:lang w:eastAsia="en-US"/>
        </w:rPr>
        <w:t xml:space="preserve"> abertura</w:t>
      </w:r>
      <w:r w:rsidR="000912C8">
        <w:rPr>
          <w:rFonts w:eastAsia="Calibri"/>
          <w:lang w:eastAsia="en-US"/>
        </w:rPr>
        <w:t>s</w:t>
      </w:r>
      <w:r w:rsidRPr="001B2B59">
        <w:rPr>
          <w:rFonts w:eastAsia="Calibri"/>
          <w:lang w:eastAsia="en-US"/>
        </w:rPr>
        <w:t xml:space="preserve"> </w:t>
      </w:r>
      <w:r w:rsidR="000912C8">
        <w:rPr>
          <w:rFonts w:eastAsia="Calibri"/>
          <w:lang w:eastAsia="en-US"/>
        </w:rPr>
        <w:t xml:space="preserve">realizadas </w:t>
      </w:r>
      <w:r w:rsidRPr="001B2B59">
        <w:rPr>
          <w:rFonts w:eastAsia="Calibri"/>
          <w:lang w:eastAsia="en-US"/>
        </w:rPr>
        <w:t>por músicos, cantores ou conjuntos musicais do Município. Ainda que se reconheça as nobres intenções do legislador de fomentar as inciativas culturais locais, não se pode olvidar a inadequação do instrumento legal</w:t>
      </w:r>
      <w:r w:rsidR="000912C8">
        <w:rPr>
          <w:rFonts w:eastAsia="Calibri"/>
          <w:lang w:eastAsia="en-US"/>
        </w:rPr>
        <w:t>,</w:t>
      </w:r>
      <w:r w:rsidRPr="001B2B59">
        <w:rPr>
          <w:rFonts w:eastAsia="Calibri"/>
          <w:lang w:eastAsia="en-US"/>
        </w:rPr>
        <w:t xml:space="preserve"> que cria obrigações à iniciativa privada enquanto meio de efetivação do fim proposto.</w:t>
      </w:r>
    </w:p>
    <w:p w14:paraId="0B1EBD21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354A6312" w14:textId="7D239C32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>A Constituição da República Federativa do Brasil, em seu art. 170, estabeleceu como princípios constitucionais a livre iniciativa e a livre concorrência, a fim de assegurar a liberdade econômica dos cidadãos brasileiros. Por si só, as barreiras criadas pela Lei n</w:t>
      </w:r>
      <w:r w:rsidR="00D854CC">
        <w:rPr>
          <w:rFonts w:eastAsia="Calibri"/>
          <w:lang w:eastAsia="en-US"/>
        </w:rPr>
        <w:t>º</w:t>
      </w:r>
      <w:r w:rsidRPr="001B2B59">
        <w:rPr>
          <w:rFonts w:eastAsia="Calibri"/>
          <w:lang w:eastAsia="en-US"/>
        </w:rPr>
        <w:t xml:space="preserve"> 8.203</w:t>
      </w:r>
      <w:r w:rsidR="003D7FC5">
        <w:rPr>
          <w:rFonts w:eastAsia="Calibri"/>
          <w:lang w:eastAsia="en-US"/>
        </w:rPr>
        <w:t>, de 19</w:t>
      </w:r>
      <w:r w:rsidRPr="001B2B59">
        <w:rPr>
          <w:rFonts w:eastAsia="Calibri"/>
          <w:lang w:eastAsia="en-US"/>
        </w:rPr>
        <w:t>98</w:t>
      </w:r>
      <w:r w:rsidR="003D7FC5">
        <w:rPr>
          <w:rFonts w:eastAsia="Calibri"/>
          <w:lang w:eastAsia="en-US"/>
        </w:rPr>
        <w:t>,</w:t>
      </w:r>
      <w:r w:rsidRPr="001B2B59">
        <w:rPr>
          <w:rFonts w:eastAsia="Calibri"/>
          <w:lang w:eastAsia="en-US"/>
        </w:rPr>
        <w:t xml:space="preserve"> à entrada nos mercados afetam negativamente o bem-estar dos consumidores. No que tange à previsão da </w:t>
      </w:r>
      <w:r w:rsidR="003D7FC5">
        <w:rPr>
          <w:rFonts w:eastAsia="Calibri"/>
          <w:lang w:eastAsia="en-US"/>
        </w:rPr>
        <w:t>L</w:t>
      </w:r>
      <w:r w:rsidRPr="001B2B59">
        <w:rPr>
          <w:rFonts w:eastAsia="Calibri"/>
          <w:lang w:eastAsia="en-US"/>
        </w:rPr>
        <w:t>ei, o mercado de serviços de entretenimento</w:t>
      </w:r>
      <w:r w:rsidR="003D7FC5">
        <w:rPr>
          <w:rFonts w:eastAsia="Calibri"/>
          <w:lang w:eastAsia="en-US"/>
        </w:rPr>
        <w:t xml:space="preserve"> e</w:t>
      </w:r>
      <w:r w:rsidRPr="001B2B59">
        <w:rPr>
          <w:rFonts w:eastAsia="Calibri"/>
          <w:lang w:eastAsia="en-US"/>
        </w:rPr>
        <w:t xml:space="preserve"> a imposição de barreiras de ordem geográfica gera</w:t>
      </w:r>
      <w:r w:rsidR="003D7FC5">
        <w:rPr>
          <w:rFonts w:eastAsia="Calibri"/>
          <w:lang w:eastAsia="en-US"/>
        </w:rPr>
        <w:t>m</w:t>
      </w:r>
      <w:r w:rsidRPr="001B2B59">
        <w:rPr>
          <w:rFonts w:eastAsia="Calibri"/>
          <w:lang w:eastAsia="en-US"/>
        </w:rPr>
        <w:t xml:space="preserve"> uma distorção ainda mais significativa porque limita tanto o lado da oferta quanto o da demanda.</w:t>
      </w:r>
    </w:p>
    <w:p w14:paraId="01C77958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5C86C33D" w14:textId="66E8F71B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A </w:t>
      </w:r>
      <w:r w:rsidR="003D7FC5" w:rsidRPr="001B2B59">
        <w:rPr>
          <w:rFonts w:eastAsia="Calibri"/>
          <w:lang w:eastAsia="en-US"/>
        </w:rPr>
        <w:t>Lei n</w:t>
      </w:r>
      <w:r w:rsidR="00D854CC">
        <w:rPr>
          <w:rFonts w:eastAsia="Calibri"/>
          <w:lang w:eastAsia="en-US"/>
        </w:rPr>
        <w:t>º</w:t>
      </w:r>
      <w:r w:rsidR="003D7FC5" w:rsidRPr="001B2B59">
        <w:rPr>
          <w:rFonts w:eastAsia="Calibri"/>
          <w:lang w:eastAsia="en-US"/>
        </w:rPr>
        <w:t xml:space="preserve"> 8.203</w:t>
      </w:r>
      <w:r w:rsidR="003D7FC5">
        <w:rPr>
          <w:rFonts w:eastAsia="Calibri"/>
          <w:lang w:eastAsia="en-US"/>
        </w:rPr>
        <w:t>, de 19</w:t>
      </w:r>
      <w:r w:rsidR="003D7FC5" w:rsidRPr="001B2B59">
        <w:rPr>
          <w:rFonts w:eastAsia="Calibri"/>
          <w:lang w:eastAsia="en-US"/>
        </w:rPr>
        <w:t>98</w:t>
      </w:r>
      <w:r w:rsidR="003D7FC5">
        <w:rPr>
          <w:rFonts w:eastAsia="Calibri"/>
          <w:lang w:eastAsia="en-US"/>
        </w:rPr>
        <w:t>,</w:t>
      </w:r>
      <w:r w:rsidR="003D7FC5" w:rsidRPr="001B2B59">
        <w:rPr>
          <w:rFonts w:eastAsia="Calibri"/>
          <w:lang w:eastAsia="en-US"/>
        </w:rPr>
        <w:t xml:space="preserve"> </w:t>
      </w:r>
      <w:r w:rsidRPr="001B2B59">
        <w:rPr>
          <w:rFonts w:eastAsia="Calibri"/>
          <w:lang w:eastAsia="en-US"/>
        </w:rPr>
        <w:t>prejudica a produtora que tem</w:t>
      </w:r>
      <w:r w:rsidR="000912C8">
        <w:rPr>
          <w:rFonts w:eastAsia="Calibri"/>
          <w:lang w:eastAsia="en-US"/>
        </w:rPr>
        <w:t>, em</w:t>
      </w:r>
      <w:r w:rsidRPr="001B2B59">
        <w:rPr>
          <w:rFonts w:eastAsia="Calibri"/>
          <w:lang w:eastAsia="en-US"/>
        </w:rPr>
        <w:t xml:space="preserve"> seu rol</w:t>
      </w:r>
      <w:r w:rsidR="000912C8">
        <w:rPr>
          <w:rFonts w:eastAsia="Calibri"/>
          <w:lang w:eastAsia="en-US"/>
        </w:rPr>
        <w:t>,</w:t>
      </w:r>
      <w:r w:rsidRPr="001B2B59">
        <w:rPr>
          <w:rFonts w:eastAsia="Calibri"/>
          <w:lang w:eastAsia="en-US"/>
        </w:rPr>
        <w:t xml:space="preserve"> potenciais bandas capazes de atender aquele evento</w:t>
      </w:r>
      <w:r w:rsidR="008F3AC8">
        <w:rPr>
          <w:rFonts w:eastAsia="Calibri"/>
          <w:lang w:eastAsia="en-US"/>
        </w:rPr>
        <w:t xml:space="preserve"> e</w:t>
      </w:r>
      <w:r w:rsidRPr="001B2B59">
        <w:rPr>
          <w:rFonts w:eastAsia="Calibri"/>
          <w:lang w:eastAsia="en-US"/>
        </w:rPr>
        <w:t xml:space="preserve"> </w:t>
      </w:r>
      <w:r w:rsidR="000912C8">
        <w:rPr>
          <w:rFonts w:eastAsia="Calibri"/>
          <w:lang w:eastAsia="en-US"/>
        </w:rPr>
        <w:t xml:space="preserve">que são </w:t>
      </w:r>
      <w:r w:rsidRPr="001B2B59">
        <w:rPr>
          <w:rFonts w:eastAsia="Calibri"/>
          <w:lang w:eastAsia="en-US"/>
        </w:rPr>
        <w:t xml:space="preserve">limitadas artificialmente. Da mesma forma, as pessoas que vão assistir ao </w:t>
      </w:r>
      <w:r w:rsidRPr="00FE572F">
        <w:rPr>
          <w:rFonts w:eastAsia="Calibri"/>
          <w:i/>
          <w:lang w:eastAsia="en-US"/>
        </w:rPr>
        <w:t>show</w:t>
      </w:r>
      <w:r w:rsidRPr="001B2B59">
        <w:rPr>
          <w:rFonts w:eastAsia="Calibri"/>
          <w:lang w:eastAsia="en-US"/>
        </w:rPr>
        <w:t xml:space="preserve"> terão que se contentar com a atração que foi capaz de se enquadrar nos condicionantes impostos por es</w:t>
      </w:r>
      <w:r w:rsidR="003D7FC5">
        <w:rPr>
          <w:rFonts w:eastAsia="Calibri"/>
          <w:lang w:eastAsia="en-US"/>
        </w:rPr>
        <w:t>t</w:t>
      </w:r>
      <w:r w:rsidRPr="001B2B59">
        <w:rPr>
          <w:rFonts w:eastAsia="Calibri"/>
          <w:lang w:eastAsia="en-US"/>
        </w:rPr>
        <w:t xml:space="preserve">a </w:t>
      </w:r>
      <w:r w:rsidR="003D7FC5">
        <w:rPr>
          <w:rFonts w:eastAsia="Calibri"/>
          <w:lang w:eastAsia="en-US"/>
        </w:rPr>
        <w:t>L</w:t>
      </w:r>
      <w:r w:rsidRPr="001B2B59">
        <w:rPr>
          <w:rFonts w:eastAsia="Calibri"/>
          <w:lang w:eastAsia="en-US"/>
        </w:rPr>
        <w:t>ei</w:t>
      </w:r>
      <w:r w:rsidR="008F3AC8">
        <w:rPr>
          <w:rFonts w:eastAsia="Calibri"/>
          <w:lang w:eastAsia="en-US"/>
        </w:rPr>
        <w:t>,</w:t>
      </w:r>
      <w:r w:rsidRPr="001B2B59">
        <w:rPr>
          <w:rFonts w:eastAsia="Calibri"/>
          <w:lang w:eastAsia="en-US"/>
        </w:rPr>
        <w:t xml:space="preserve"> e não com o artista desejado por uma maioria para a abertura do espetáculo cultural em questão.</w:t>
      </w:r>
    </w:p>
    <w:p w14:paraId="38FCE3B0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58B7B053" w14:textId="628BA0AF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Salienta-se, ainda, que a mesma proposta legislativa foi feita em outros municípios da federação, como no </w:t>
      </w:r>
      <w:r w:rsidR="003D7FC5">
        <w:rPr>
          <w:rFonts w:eastAsia="Calibri"/>
          <w:lang w:eastAsia="en-US"/>
        </w:rPr>
        <w:t>m</w:t>
      </w:r>
      <w:r w:rsidRPr="001B2B59">
        <w:rPr>
          <w:rFonts w:eastAsia="Calibri"/>
          <w:lang w:eastAsia="en-US"/>
        </w:rPr>
        <w:t xml:space="preserve">unicípio de Foz do Iguaçu, </w:t>
      </w:r>
      <w:r w:rsidR="00876FAE">
        <w:rPr>
          <w:rFonts w:eastAsia="Calibri"/>
          <w:lang w:eastAsia="en-US"/>
        </w:rPr>
        <w:t>em que</w:t>
      </w:r>
      <w:r w:rsidRPr="001B2B59">
        <w:rPr>
          <w:rFonts w:eastAsia="Calibri"/>
          <w:lang w:eastAsia="en-US"/>
        </w:rPr>
        <w:t xml:space="preserve"> o prefeito vetou a proposta similar sob as mesmas justificativas realizadas acima. Por oportuno, colaciona-se excerto do </w:t>
      </w:r>
      <w:r w:rsidR="00A74AE4">
        <w:rPr>
          <w:rFonts w:eastAsia="Calibri"/>
          <w:lang w:eastAsia="en-US"/>
        </w:rPr>
        <w:t>v</w:t>
      </w:r>
      <w:r w:rsidRPr="001B2B59">
        <w:rPr>
          <w:rFonts w:eastAsia="Calibri"/>
          <w:lang w:eastAsia="en-US"/>
        </w:rPr>
        <w:t xml:space="preserve">eto realizado pelo </w:t>
      </w:r>
      <w:r w:rsidR="003D7FC5">
        <w:rPr>
          <w:rFonts w:eastAsia="Calibri"/>
          <w:lang w:eastAsia="en-US"/>
        </w:rPr>
        <w:t>p</w:t>
      </w:r>
      <w:r w:rsidRPr="001B2B59">
        <w:rPr>
          <w:rFonts w:eastAsia="Calibri"/>
          <w:lang w:eastAsia="en-US"/>
        </w:rPr>
        <w:t>refeito à época:</w:t>
      </w:r>
    </w:p>
    <w:p w14:paraId="19F454BE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4D63C8C7" w14:textId="77777777" w:rsidR="001B2B59" w:rsidRPr="00FE572F" w:rsidRDefault="001B2B59" w:rsidP="00FE572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E572F">
        <w:rPr>
          <w:rFonts w:eastAsia="Calibri"/>
          <w:sz w:val="20"/>
          <w:szCs w:val="20"/>
          <w:lang w:eastAsia="en-US"/>
        </w:rPr>
        <w:t>Assim, ao dispor em lei sobre a obrigatoriedade dos organizadores em contratarem também, além do show nacional ou internacional, banda ou cantor local acabará por onerar os custos do evento. E o consumidor ao adquirir o ingresso terá de pagar um preço maior, e não pelo que quer assistir de fato. Não cabe desta forma ao Estado impor contratação a mais do que a desejada, quer seja ao organizador como que para o consumidor/ouvinte.</w:t>
      </w:r>
    </w:p>
    <w:p w14:paraId="081A4646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7306A5F2" w14:textId="46C5A60C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Ademais, aos que desgostam dos argumentos de ordem econômica – afirmando se tratar de um debate secundário ante a promoção da cultura local – também há razões para rechaçar a referida Lei sob o prisma </w:t>
      </w:r>
      <w:r w:rsidR="00A74AE4">
        <w:rPr>
          <w:rFonts w:eastAsia="Calibri"/>
          <w:lang w:eastAsia="en-US"/>
        </w:rPr>
        <w:t>c</w:t>
      </w:r>
      <w:r w:rsidRPr="001B2B59">
        <w:rPr>
          <w:rFonts w:eastAsia="Calibri"/>
          <w:lang w:eastAsia="en-US"/>
        </w:rPr>
        <w:t>onstitucional da pluralidade cultural e da igualdade formal. A liberdade artística foi assegurada pelo constituinte no</w:t>
      </w:r>
      <w:r w:rsidR="00A74AE4" w:rsidRPr="00A74AE4">
        <w:rPr>
          <w:rFonts w:eastAsia="Calibri"/>
          <w:lang w:eastAsia="en-US"/>
        </w:rPr>
        <w:t xml:space="preserve"> </w:t>
      </w:r>
      <w:r w:rsidR="00A74AE4">
        <w:rPr>
          <w:rFonts w:eastAsia="Calibri"/>
          <w:lang w:eastAsia="en-US"/>
        </w:rPr>
        <w:t>inc.</w:t>
      </w:r>
      <w:r w:rsidR="00A74AE4" w:rsidRPr="001B2B59">
        <w:rPr>
          <w:rFonts w:eastAsia="Calibri"/>
          <w:lang w:eastAsia="en-US"/>
        </w:rPr>
        <w:t xml:space="preserve"> IX</w:t>
      </w:r>
      <w:r w:rsidR="00A74AE4">
        <w:rPr>
          <w:rFonts w:eastAsia="Calibri"/>
          <w:lang w:eastAsia="en-US"/>
        </w:rPr>
        <w:t>,</w:t>
      </w:r>
      <w:r w:rsidR="00DA71C8">
        <w:rPr>
          <w:rFonts w:eastAsia="Calibri"/>
          <w:lang w:eastAsia="en-US"/>
        </w:rPr>
        <w:t xml:space="preserve"> do</w:t>
      </w:r>
      <w:r w:rsidRPr="001B2B59">
        <w:rPr>
          <w:rFonts w:eastAsia="Calibri"/>
          <w:lang w:eastAsia="en-US"/>
        </w:rPr>
        <w:t xml:space="preserve"> art. 5º, da </w:t>
      </w:r>
      <w:r w:rsidR="00A74AE4" w:rsidRPr="001B2B59">
        <w:rPr>
          <w:rFonts w:eastAsia="Calibri"/>
          <w:lang w:eastAsia="en-US"/>
        </w:rPr>
        <w:t>Constituição da República Federativa do Brasil</w:t>
      </w:r>
      <w:r w:rsidR="00DA71C8">
        <w:rPr>
          <w:rFonts w:eastAsia="Calibri"/>
          <w:lang w:eastAsia="en-US"/>
        </w:rPr>
        <w:t>,</w:t>
      </w:r>
      <w:r w:rsidR="00A74AE4" w:rsidRPr="001B2B59" w:rsidDel="00A74AE4">
        <w:rPr>
          <w:rFonts w:eastAsia="Calibri"/>
          <w:lang w:eastAsia="en-US"/>
        </w:rPr>
        <w:t xml:space="preserve"> </w:t>
      </w:r>
      <w:r w:rsidRPr="001B2B59">
        <w:rPr>
          <w:rFonts w:eastAsia="Calibri"/>
          <w:lang w:eastAsia="en-US"/>
        </w:rPr>
        <w:t>e não admite que o legislador municipal determine quais nacionalidades ou espécies de cultura devem ou não ser favorecidas.</w:t>
      </w:r>
    </w:p>
    <w:p w14:paraId="61192FCB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1E4B7AC1" w14:textId="27800642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Por exemplo, a um conjunto musical internacional de matriz artística africana será determinado que o seu </w:t>
      </w:r>
      <w:r w:rsidRPr="00FE572F">
        <w:rPr>
          <w:rFonts w:eastAsia="Calibri"/>
          <w:i/>
          <w:lang w:eastAsia="en-US"/>
        </w:rPr>
        <w:t>show</w:t>
      </w:r>
      <w:r w:rsidRPr="001B2B59">
        <w:rPr>
          <w:rFonts w:eastAsia="Calibri"/>
          <w:lang w:eastAsia="en-US"/>
        </w:rPr>
        <w:t xml:space="preserve"> coloque um artista local? No caso de um conjunto internacional que trabalhe a cultura musical indígena, a eles se aplicará a mesma regra? Devemos onerar eventos </w:t>
      </w:r>
      <w:r w:rsidRPr="001B2B59">
        <w:rPr>
          <w:rFonts w:eastAsia="Calibri"/>
          <w:lang w:eastAsia="en-US"/>
        </w:rPr>
        <w:lastRenderedPageBreak/>
        <w:t>que promovam culturas que não sejam as nossas (ou, no mínimo, que não carreguem as nossas consigo)? Não parece adequado, nem republicano.</w:t>
      </w:r>
    </w:p>
    <w:p w14:paraId="50B10931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32BA76CA" w14:textId="51EB9F91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Ainda, se um conjunto musical pertence à </w:t>
      </w:r>
      <w:r w:rsidR="002D61AC">
        <w:rPr>
          <w:rFonts w:eastAsia="Calibri"/>
          <w:lang w:eastAsia="en-US"/>
        </w:rPr>
        <w:t>R</w:t>
      </w:r>
      <w:r w:rsidR="002D61AC" w:rsidRPr="001B2B59">
        <w:rPr>
          <w:rFonts w:eastAsia="Calibri"/>
          <w:lang w:eastAsia="en-US"/>
        </w:rPr>
        <w:t xml:space="preserve">egião </w:t>
      </w:r>
      <w:r w:rsidR="002D61AC">
        <w:rPr>
          <w:rFonts w:eastAsia="Calibri"/>
          <w:lang w:eastAsia="en-US"/>
        </w:rPr>
        <w:t>M</w:t>
      </w:r>
      <w:r w:rsidR="002D61AC" w:rsidRPr="001B2B59">
        <w:rPr>
          <w:rFonts w:eastAsia="Calibri"/>
          <w:lang w:eastAsia="en-US"/>
        </w:rPr>
        <w:t xml:space="preserve">etropolitana </w:t>
      </w:r>
      <w:r w:rsidRPr="001B2B59">
        <w:rPr>
          <w:rFonts w:eastAsia="Calibri"/>
          <w:lang w:eastAsia="en-US"/>
        </w:rPr>
        <w:t xml:space="preserve">de Porto Alegre, esse não poderá abrir o </w:t>
      </w:r>
      <w:r w:rsidRPr="00FE572F">
        <w:rPr>
          <w:rFonts w:eastAsia="Calibri"/>
          <w:i/>
          <w:lang w:eastAsia="en-US"/>
        </w:rPr>
        <w:t>show</w:t>
      </w:r>
      <w:r w:rsidRPr="001B2B59">
        <w:rPr>
          <w:rFonts w:eastAsia="Calibri"/>
          <w:lang w:eastAsia="en-US"/>
        </w:rPr>
        <w:t xml:space="preserve"> de uma banda internacional. Nesse sentido, flagrante a violação do comando de que “todos somos iguais perante a lei”, dado que bastam alguns quilômetros de distância para criarmos diferenciações entre as pessoas e as suas prerrogativas.</w:t>
      </w:r>
    </w:p>
    <w:p w14:paraId="366C02FE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68BB9B6B" w14:textId="005BB102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 xml:space="preserve">Por fim, imperioso apontar que diversos </w:t>
      </w:r>
      <w:r w:rsidR="00C90D2B">
        <w:rPr>
          <w:rFonts w:eastAsia="Calibri"/>
          <w:lang w:eastAsia="en-US"/>
        </w:rPr>
        <w:t>t</w:t>
      </w:r>
      <w:r w:rsidRPr="001B2B59">
        <w:rPr>
          <w:rFonts w:eastAsia="Calibri"/>
          <w:lang w:eastAsia="en-US"/>
        </w:rPr>
        <w:t xml:space="preserve">ribunais de </w:t>
      </w:r>
      <w:r w:rsidR="00C90D2B">
        <w:rPr>
          <w:rFonts w:eastAsia="Calibri"/>
          <w:lang w:eastAsia="en-US"/>
        </w:rPr>
        <w:t>j</w:t>
      </w:r>
      <w:r w:rsidRPr="001B2B59">
        <w:rPr>
          <w:rFonts w:eastAsia="Calibri"/>
          <w:lang w:eastAsia="en-US"/>
        </w:rPr>
        <w:t>ustiça, de diversos Estado</w:t>
      </w:r>
      <w:r w:rsidR="00C90D2B">
        <w:rPr>
          <w:rFonts w:eastAsia="Calibri"/>
          <w:lang w:eastAsia="en-US"/>
        </w:rPr>
        <w:t>s</w:t>
      </w:r>
      <w:r w:rsidRPr="001B2B59">
        <w:rPr>
          <w:rFonts w:eastAsia="Calibri"/>
          <w:lang w:eastAsia="en-US"/>
        </w:rPr>
        <w:t xml:space="preserve"> da Federação, julgaram inconstitucionais</w:t>
      </w:r>
      <w:r w:rsidR="00C90D2B">
        <w:rPr>
          <w:rFonts w:eastAsia="Calibri"/>
          <w:lang w:eastAsia="en-US"/>
        </w:rPr>
        <w:t xml:space="preserve"> as</w:t>
      </w:r>
      <w:r w:rsidRPr="001B2B59">
        <w:rPr>
          <w:rFonts w:eastAsia="Calibri"/>
          <w:lang w:eastAsia="en-US"/>
        </w:rPr>
        <w:t xml:space="preserve"> leis com o mesmo conteúdo normativo ora impugnado, conforme se demonstra:</w:t>
      </w:r>
    </w:p>
    <w:p w14:paraId="00464D37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240CD554" w14:textId="77777777" w:rsidR="003C3F21" w:rsidRPr="002C6A43" w:rsidRDefault="00210487" w:rsidP="003C3F21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E572F">
        <w:rPr>
          <w:rFonts w:eastAsia="Calibri"/>
          <w:sz w:val="20"/>
          <w:szCs w:val="20"/>
          <w:lang w:eastAsia="en-US"/>
        </w:rPr>
        <w:t>Ação Direta De Inconstitucionalidade</w:t>
      </w:r>
      <w:r w:rsidR="001B2B59" w:rsidRPr="00FE572F">
        <w:rPr>
          <w:rFonts w:eastAsia="Calibri"/>
          <w:sz w:val="20"/>
          <w:szCs w:val="20"/>
          <w:lang w:eastAsia="en-US"/>
        </w:rPr>
        <w:t xml:space="preserve"> – Pretensão fundada na violação, pela norma legal, da Lei Orgânica Municipal, do Regimento Interno da Câmara Municipal e da Constituição Estadual – Descabimento, pelos dois primeiros motivos – O parâmetro de controle de constitucionalidade de lei municipal perante Tribunal de Justiça Estadual é a norma constitucional estadual, apenas – Pretensão conhecida e julgada apenas no respeitante às normas constitucionais estaduais, ditas contrariadas. </w:t>
      </w:r>
      <w:r w:rsidRPr="00FE572F">
        <w:rPr>
          <w:rFonts w:eastAsia="Calibri"/>
          <w:sz w:val="20"/>
          <w:szCs w:val="20"/>
          <w:lang w:eastAsia="en-US"/>
        </w:rPr>
        <w:t>Ação Direta De Inconstitucionalidade</w:t>
      </w:r>
      <w:r w:rsidR="001B2B59" w:rsidRPr="00FE572F">
        <w:rPr>
          <w:rFonts w:eastAsia="Calibri"/>
          <w:sz w:val="20"/>
          <w:szCs w:val="20"/>
          <w:lang w:eastAsia="en-US"/>
        </w:rPr>
        <w:t xml:space="preserve"> – Lei nº 2.380, de 26 de abril de 2016, do Município de São Sebastião, que "dispõe sobre abertura de shows no município com músicos locais" – Inconstitucionalidade – Violação do princípio da separação de poderes e da reserva de iniciativa reservada ao Chefe do Poder Executivo – Imposição ao Poder Executivo de tarefas típicas de administração, como as de condicionar a expedição de autorização para realização de shows à indicação, pelo produtor, de artistas e assim também a apresentação de contratos, e de promoção, organização e adoção de providências tendentes a constituir cadastro de artistas locais (arts. 5º, I, 47, II, XIV e XIX, e 144 da CE) – Criação de novos encargos sem a indicação de sua fonte de custeio (arts. 25, 174, e 176, I, CE) – </w:t>
      </w:r>
      <w:r w:rsidR="001B2B59" w:rsidRPr="00FE572F">
        <w:rPr>
          <w:rFonts w:eastAsia="Calibri"/>
          <w:b/>
          <w:sz w:val="20"/>
          <w:szCs w:val="20"/>
          <w:lang w:eastAsia="en-US"/>
        </w:rPr>
        <w:t>Violação do princípio da livre iniciativa, resultante da imposição de que o produtor de shows contrate artistas locais para realizar a respectiva abertura, precedendo a atração principal (arts. 1º, IV, e 170, caput, da CF, aplicáveis aos Municípios em razão do art. 144 CE)– Quebra, ademais, do princípio da razoabilidade (arts. 111 e 114 da CE) – Inconstitucionalidade configurada. Ação julgada procedente.</w:t>
      </w:r>
      <w:r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  <w:r w:rsidR="003C3F21">
        <w:rPr>
          <w:rFonts w:eastAsia="Calibri"/>
          <w:sz w:val="20"/>
          <w:szCs w:val="20"/>
          <w:lang w:eastAsia="en-US"/>
        </w:rPr>
        <w:t xml:space="preserve"> </w:t>
      </w:r>
      <w:r w:rsidR="003C3F21" w:rsidRPr="0091038A">
        <w:rPr>
          <w:rFonts w:eastAsia="Calibri"/>
          <w:sz w:val="20"/>
          <w:szCs w:val="20"/>
          <w:lang w:eastAsia="en-US"/>
        </w:rPr>
        <w:t xml:space="preserve">[grifos </w:t>
      </w:r>
      <w:r w:rsidR="003C3F21">
        <w:rPr>
          <w:rFonts w:eastAsia="Calibri"/>
          <w:sz w:val="20"/>
          <w:szCs w:val="20"/>
          <w:lang w:eastAsia="en-US"/>
        </w:rPr>
        <w:t>do autor</w:t>
      </w:r>
      <w:r w:rsidR="003C3F21" w:rsidRPr="0091038A">
        <w:rPr>
          <w:rFonts w:eastAsia="Calibri"/>
          <w:sz w:val="20"/>
          <w:szCs w:val="20"/>
          <w:lang w:eastAsia="en-US"/>
        </w:rPr>
        <w:t>]</w:t>
      </w:r>
    </w:p>
    <w:p w14:paraId="69CB6CF4" w14:textId="77777777" w:rsidR="001B2B59" w:rsidRPr="001B2B59" w:rsidRDefault="001B2B59" w:rsidP="00FE572F">
      <w:pPr>
        <w:ind w:left="2268"/>
        <w:jc w:val="both"/>
        <w:rPr>
          <w:rFonts w:eastAsia="Calibri"/>
          <w:lang w:eastAsia="en-US"/>
        </w:rPr>
      </w:pPr>
    </w:p>
    <w:p w14:paraId="3C1FC5E0" w14:textId="0B0F3C45" w:rsidR="001B2B59" w:rsidRPr="00FE572F" w:rsidRDefault="0091038A" w:rsidP="00FE572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E572F">
        <w:rPr>
          <w:rFonts w:eastAsia="Calibri"/>
          <w:sz w:val="20"/>
          <w:szCs w:val="20"/>
          <w:lang w:eastAsia="en-US"/>
        </w:rPr>
        <w:t>A c ó r d ã o Ementa: ação direta de inconstitucionalidade. Lei nº 3.062⁄2007, oriunda do município de Serra. criação de prioridade para os artistas locais em eventos culturais. invocação de contrariedade a norma constitucional estadual remissiva a aspectos da carta republicana. parâmetro idôneo para o controle concentrado perante o Tribunal de Justiça. naturalidade. fator de discrímen alheio ou exterior às pessoas. ofensa ao princípio da isonomia e, por via de consequência, aos artigos 1º e 3º da constituição do estado do espirito santo. pedido julgado procedente. efeitos ex tunc</w:t>
      </w:r>
      <w:r w:rsidR="001B2B59" w:rsidRPr="00FE572F">
        <w:rPr>
          <w:rFonts w:eastAsia="Calibri"/>
          <w:sz w:val="20"/>
          <w:szCs w:val="20"/>
          <w:lang w:eastAsia="en-US"/>
        </w:rPr>
        <w:t xml:space="preserve">. I. As normas constitucionais estaduais remissivas à disciplina de determinada matéria prevista na Constituição Federal constituem parâmetro idôneo de controle concentrado de constitucionalidade no âmbito do Tribunal de Justiça local. II. Segundo o nosso modelo federativo, cada Estado-membro possui não apenas o dever de se abster de violar os princípios cuja observância por cada componente seja obrigatória, mas também o dever de realizar os fins eleitos na Constituição federal, assim como assegurar que os seus princípios sejam observados pela comunidade estadual, na sua esfera de vigência, inclusive mediante o controle de constitucionalidade. III. </w:t>
      </w:r>
      <w:r w:rsidR="001B2B59" w:rsidRPr="00FE572F">
        <w:rPr>
          <w:rFonts w:eastAsia="Calibri"/>
          <w:b/>
          <w:sz w:val="20"/>
          <w:szCs w:val="20"/>
          <w:lang w:eastAsia="en-US"/>
        </w:rPr>
        <w:t xml:space="preserve">Em virtude do princípio da isonomia federativa consagrado no inc. III do art. 19 da CF⁄88, é flagrantemente inconstitucional a norma que crie discriminações em razão da origem ou mesmo obstáculos ao trabalho de qualquer brasileiro tão-somente por sua naturalidade. IV. Mesmo por meio de lei, não pode o </w:t>
      </w:r>
      <w:r w:rsidR="001B2B59" w:rsidRPr="00FE572F">
        <w:rPr>
          <w:rFonts w:eastAsia="Calibri"/>
          <w:b/>
          <w:sz w:val="20"/>
          <w:szCs w:val="20"/>
          <w:lang w:eastAsia="en-US"/>
        </w:rPr>
        <w:lastRenderedPageBreak/>
        <w:t>Município favorecer seus munícipes a ponto de criar privilégios pelo simples fato de haverem nascido na circunscrição municipal.</w:t>
      </w:r>
      <w:r w:rsidR="001B2B59" w:rsidRPr="00FE572F">
        <w:rPr>
          <w:rFonts w:eastAsia="Calibri"/>
          <w:sz w:val="20"/>
          <w:szCs w:val="20"/>
          <w:lang w:eastAsia="en-US"/>
        </w:rPr>
        <w:t xml:space="preserve"> V. Embora compita à lei distinguir situações, o princípio da igualdade tem por fim impedir distinções, discriminações ou mesmo privilégios que se revelem arbitrários, preconceituosos, odiosos ou injustificáveis. VI. Não será legítima a desequiparação arbitrária, caprichosa, aleatória, vez que o elemento de discriminação tem de ser relevante e residente nas pessoas por tal modo diferenciadas, e não em fator externo ou alheio a elas. </w:t>
      </w:r>
      <w:r w:rsidR="001B2B59" w:rsidRPr="00FE572F">
        <w:rPr>
          <w:rFonts w:eastAsia="Calibri"/>
          <w:b/>
          <w:sz w:val="20"/>
          <w:szCs w:val="20"/>
          <w:lang w:eastAsia="en-US"/>
        </w:rPr>
        <w:t>VII. O domicílio ou mesmo a naturalidade são fatores externos e alheios aos artistas, os quais, lamentavelmente, não estariam sendo escolhidos pelo talento ou mesmo pelo mérito pessoal, mas sim por um critério meramente espacial e geográfico, totalmente divorciado do princípio da igualdade.</w:t>
      </w:r>
      <w:r w:rsidR="001B2B59" w:rsidRPr="00FE572F">
        <w:rPr>
          <w:rFonts w:eastAsia="Calibri"/>
          <w:sz w:val="20"/>
          <w:szCs w:val="20"/>
          <w:lang w:eastAsia="en-US"/>
        </w:rPr>
        <w:t xml:space="preserve"> VIII. Pretensas medidas compensatórias ou promocionais alicerçadas em ação afirmativa não podem ser alavancadas com desprezo a enunciados constitucionais com estrutura de regra, como ocorre com o inc. III do art. 19 da Carta Republicana. IX. Partindo-se do princípio da unidade da Constituição, mediante o qual se estabelece que nenhuma norma constitucional será interpretada em contradição com outro enunciado do mesmo texto, e atentando-se, simultaneamente, para o entendimento consolidado do STF no sentido de não haver graus distintos de hierarquia entre normas constitucionais - ou seja, todas elas se colocariam no mesmo plano - não é possível implementar ação afirmativa ao arrepio do texto constitucional (inc. III do art. 19), mormente quando ele busca densificar a matriz principiológica contemplada no caput do art. 5º do Estatuto Supremo. X. Ao afrontar o princípio da isonomia positivado na Constituição Republicana, o art. 1º da Lei Municipal nº 3.062⁄2007 também violou as proposições remissivas veiculadas nos arts. 1º e 3º da Carta Magna Estadual, o que autoriza a procedência do pedido veiculado na presente demanda, com efeitos ex tunc. XI. Pedido julgado procedente.</w:t>
      </w:r>
      <w:r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  <w:r w:rsidR="001B2B59" w:rsidRPr="00FE572F">
        <w:rPr>
          <w:rFonts w:eastAsia="Calibri"/>
          <w:sz w:val="20"/>
          <w:szCs w:val="20"/>
          <w:lang w:eastAsia="en-US"/>
        </w:rPr>
        <w:t xml:space="preserve"> </w:t>
      </w:r>
      <w:r w:rsidRPr="0091038A">
        <w:rPr>
          <w:rFonts w:eastAsia="Calibri"/>
          <w:sz w:val="20"/>
          <w:szCs w:val="20"/>
          <w:lang w:eastAsia="en-US"/>
        </w:rPr>
        <w:t xml:space="preserve">[grifos </w:t>
      </w:r>
      <w:r>
        <w:rPr>
          <w:rFonts w:eastAsia="Calibri"/>
          <w:sz w:val="20"/>
          <w:szCs w:val="20"/>
          <w:lang w:eastAsia="en-US"/>
        </w:rPr>
        <w:t>do autor</w:t>
      </w:r>
      <w:r w:rsidRPr="0091038A">
        <w:rPr>
          <w:rFonts w:eastAsia="Calibri"/>
          <w:sz w:val="20"/>
          <w:szCs w:val="20"/>
          <w:lang w:eastAsia="en-US"/>
        </w:rPr>
        <w:t>]</w:t>
      </w:r>
    </w:p>
    <w:p w14:paraId="29F6F82B" w14:textId="77777777" w:rsidR="001B2B59" w:rsidRPr="001B2B59" w:rsidRDefault="001B2B59" w:rsidP="001B2B59">
      <w:pPr>
        <w:ind w:firstLine="1418"/>
        <w:jc w:val="both"/>
        <w:rPr>
          <w:rFonts w:eastAsia="Calibri"/>
          <w:lang w:eastAsia="en-US"/>
        </w:rPr>
      </w:pPr>
    </w:p>
    <w:p w14:paraId="029B62A4" w14:textId="7A91262E" w:rsidR="00115D7B" w:rsidRPr="00115D7B" w:rsidRDefault="001B2B59" w:rsidP="001B2B59">
      <w:pPr>
        <w:ind w:firstLine="1418"/>
        <w:jc w:val="both"/>
        <w:rPr>
          <w:rFonts w:eastAsia="Calibri"/>
          <w:lang w:eastAsia="en-US"/>
        </w:rPr>
      </w:pPr>
      <w:r w:rsidRPr="001B2B59">
        <w:rPr>
          <w:rFonts w:eastAsia="Calibri"/>
          <w:lang w:eastAsia="en-US"/>
        </w:rPr>
        <w:t>Des</w:t>
      </w:r>
      <w:r w:rsidR="00FC227D">
        <w:rPr>
          <w:rFonts w:eastAsia="Calibri"/>
          <w:lang w:eastAsia="en-US"/>
        </w:rPr>
        <w:t>s</w:t>
      </w:r>
      <w:r w:rsidRPr="001B2B59">
        <w:rPr>
          <w:rFonts w:eastAsia="Calibri"/>
          <w:lang w:eastAsia="en-US"/>
        </w:rPr>
        <w:t xml:space="preserve">a banda, a Câmara </w:t>
      </w:r>
      <w:r w:rsidR="00FC227D">
        <w:rPr>
          <w:rFonts w:eastAsia="Calibri"/>
          <w:lang w:eastAsia="en-US"/>
        </w:rPr>
        <w:t>Municipal de Porto Alegre</w:t>
      </w:r>
      <w:r w:rsidRPr="001B2B59">
        <w:rPr>
          <w:rFonts w:eastAsia="Calibri"/>
          <w:lang w:eastAsia="en-US"/>
        </w:rPr>
        <w:t xml:space="preserve">, ao atuar de maneira proativa, revogando leis inconstitucionais antes mesmo que essas sejam judicializadas pela população de Porto Alegre, evita o aumento </w:t>
      </w:r>
      <w:r w:rsidR="000912C8">
        <w:rPr>
          <w:rFonts w:eastAsia="Calibri"/>
          <w:lang w:eastAsia="en-US"/>
        </w:rPr>
        <w:t>d</w:t>
      </w:r>
      <w:r w:rsidRPr="001B2B59">
        <w:rPr>
          <w:rFonts w:eastAsia="Calibri"/>
          <w:lang w:eastAsia="en-US"/>
        </w:rPr>
        <w:t xml:space="preserve">o número de processos e torna evidente a grandeza deste </w:t>
      </w:r>
      <w:r w:rsidR="00C9395B">
        <w:rPr>
          <w:rFonts w:eastAsia="Calibri"/>
          <w:lang w:eastAsia="en-US"/>
        </w:rPr>
        <w:t>P</w:t>
      </w:r>
      <w:r w:rsidRPr="001B2B59">
        <w:rPr>
          <w:rFonts w:eastAsia="Calibri"/>
          <w:lang w:eastAsia="en-US"/>
        </w:rPr>
        <w:t xml:space="preserve">arlamento, que se demonstra compromissado com a técnica e com o direito e que, portanto, dispensa a avaliação judicial de seu trabalho. Sendo assim, faz-se necessário que a </w:t>
      </w:r>
      <w:r w:rsidR="00C9395B" w:rsidRPr="001B2B59">
        <w:rPr>
          <w:rFonts w:eastAsia="Calibri"/>
          <w:lang w:eastAsia="en-US"/>
        </w:rPr>
        <w:t>Lei n</w:t>
      </w:r>
      <w:r w:rsidR="00C9395B">
        <w:rPr>
          <w:rFonts w:eastAsia="Calibri"/>
          <w:lang w:eastAsia="en-US"/>
        </w:rPr>
        <w:t>º</w:t>
      </w:r>
      <w:r w:rsidR="00C9395B" w:rsidRPr="001B2B59">
        <w:rPr>
          <w:rFonts w:eastAsia="Calibri"/>
          <w:lang w:eastAsia="en-US"/>
        </w:rPr>
        <w:t xml:space="preserve"> 8.203</w:t>
      </w:r>
      <w:r w:rsidR="00C9395B">
        <w:rPr>
          <w:rFonts w:eastAsia="Calibri"/>
          <w:lang w:eastAsia="en-US"/>
        </w:rPr>
        <w:t>, de 19</w:t>
      </w:r>
      <w:r w:rsidR="00C9395B" w:rsidRPr="001B2B59">
        <w:rPr>
          <w:rFonts w:eastAsia="Calibri"/>
          <w:lang w:eastAsia="en-US"/>
        </w:rPr>
        <w:t>98</w:t>
      </w:r>
      <w:r w:rsidR="00C9395B">
        <w:rPr>
          <w:rFonts w:eastAsia="Calibri"/>
          <w:lang w:eastAsia="en-US"/>
        </w:rPr>
        <w:t>,</w:t>
      </w:r>
      <w:r w:rsidR="00C9395B" w:rsidRPr="001B2B59">
        <w:rPr>
          <w:rFonts w:eastAsia="Calibri"/>
          <w:lang w:eastAsia="en-US"/>
        </w:rPr>
        <w:t xml:space="preserve"> </w:t>
      </w:r>
      <w:r w:rsidRPr="001B2B59">
        <w:rPr>
          <w:rFonts w:eastAsia="Calibri"/>
          <w:lang w:eastAsia="en-US"/>
        </w:rPr>
        <w:t>seja revogada</w:t>
      </w:r>
      <w:r w:rsidR="008E581F">
        <w:rPr>
          <w:rFonts w:eastAsia="Calibri"/>
          <w:lang w:eastAsia="en-US"/>
        </w:rPr>
        <w:t>,</w:t>
      </w:r>
      <w:r w:rsidRPr="001B2B59">
        <w:rPr>
          <w:rFonts w:eastAsia="Calibri"/>
          <w:lang w:eastAsia="en-US"/>
        </w:rPr>
        <w:t xml:space="preserve"> razão pela qual peço apoio aos ilustres colegas para</w:t>
      </w:r>
      <w:r w:rsidR="000912C8">
        <w:rPr>
          <w:rFonts w:eastAsia="Calibri"/>
          <w:lang w:eastAsia="en-US"/>
        </w:rPr>
        <w:t xml:space="preserve"> a</w:t>
      </w:r>
      <w:r w:rsidRPr="001B2B59">
        <w:rPr>
          <w:rFonts w:eastAsia="Calibri"/>
          <w:lang w:eastAsia="en-US"/>
        </w:rPr>
        <w:t xml:space="preserve"> aprovação do presente </w:t>
      </w:r>
      <w:r w:rsidR="00D53964">
        <w:rPr>
          <w:rFonts w:eastAsia="Calibri"/>
          <w:lang w:eastAsia="en-US"/>
        </w:rPr>
        <w:t>P</w:t>
      </w:r>
      <w:r w:rsidRPr="001B2B59">
        <w:rPr>
          <w:rFonts w:eastAsia="Calibri"/>
          <w:lang w:eastAsia="en-US"/>
        </w:rPr>
        <w:t>rojeto</w:t>
      </w:r>
      <w:r w:rsidR="00D53964">
        <w:rPr>
          <w:rFonts w:eastAsia="Calibri"/>
          <w:lang w:eastAsia="en-US"/>
        </w:rPr>
        <w:t xml:space="preserve"> de Lei</w:t>
      </w:r>
      <w:r w:rsidR="00115D7B" w:rsidRPr="00115D7B">
        <w:rPr>
          <w:rFonts w:eastAsia="Calibri"/>
          <w:lang w:eastAsia="en-US"/>
        </w:rPr>
        <w:t>.</w:t>
      </w:r>
    </w:p>
    <w:p w14:paraId="1E23D8F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04735BA" w14:textId="2AB6F3E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53964">
        <w:rPr>
          <w:rFonts w:eastAsia="Calibri"/>
          <w:lang w:eastAsia="en-US"/>
        </w:rPr>
        <w:t>22</w:t>
      </w:r>
      <w:r w:rsidR="00D539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53964">
        <w:rPr>
          <w:rFonts w:eastAsia="Calibri"/>
          <w:lang w:eastAsia="en-US"/>
        </w:rPr>
        <w:t>julho</w:t>
      </w:r>
      <w:r w:rsidR="00D5396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5396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6E501A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7E33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681CDB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CBD8B5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96983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25A3E23" w14:textId="47B803B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53964">
        <w:rPr>
          <w:rFonts w:eastAsia="Calibri"/>
          <w:lang w:eastAsia="en-US"/>
        </w:rPr>
        <w:t>FELIPE CAMOZZATO</w:t>
      </w:r>
    </w:p>
    <w:p w14:paraId="6B0E9B7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2A6FA49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808EAED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9294BE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052CE64" w14:textId="51D15C94" w:rsidR="00BE065D" w:rsidRDefault="001B2B5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B2B59">
        <w:rPr>
          <w:b/>
        </w:rPr>
        <w:t>Revoga a Lei nº 8.203, d</w:t>
      </w:r>
      <w:bookmarkStart w:id="0" w:name="_GoBack"/>
      <w:bookmarkEnd w:id="0"/>
      <w:r w:rsidRPr="001B2B59">
        <w:rPr>
          <w:b/>
        </w:rPr>
        <w:t xml:space="preserve">e 10 de setembro de 1998 – que dispõe sobre a abertura de </w:t>
      </w:r>
      <w:r w:rsidRPr="00FE572F">
        <w:rPr>
          <w:b/>
          <w:i/>
        </w:rPr>
        <w:t>shows</w:t>
      </w:r>
      <w:r w:rsidRPr="001B2B59">
        <w:rPr>
          <w:b/>
        </w:rPr>
        <w:t xml:space="preserve"> internacionais que ocorrerem no Município de Porto Alegre.</w:t>
      </w:r>
    </w:p>
    <w:p w14:paraId="73C49F8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927F52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CF49230" w14:textId="36B9189B" w:rsidR="001B2B59" w:rsidRDefault="00D53964" w:rsidP="001B2B5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1B2B59">
        <w:t>Fica revogada a Lei nº 8.203, de 10 de setembro de 1998.</w:t>
      </w:r>
    </w:p>
    <w:p w14:paraId="7D991E0A" w14:textId="77777777" w:rsidR="001B2B59" w:rsidRDefault="001B2B59" w:rsidP="001B2B59">
      <w:pPr>
        <w:ind w:firstLine="1418"/>
        <w:jc w:val="both"/>
      </w:pPr>
    </w:p>
    <w:p w14:paraId="154619E3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D5BC5D3" w14:textId="77777777" w:rsidR="009654CD" w:rsidRDefault="009654CD" w:rsidP="0017042C">
      <w:pPr>
        <w:ind w:firstLine="1418"/>
        <w:jc w:val="both"/>
      </w:pPr>
    </w:p>
    <w:p w14:paraId="04C0F783" w14:textId="77777777" w:rsidR="009654CD" w:rsidRDefault="009654CD" w:rsidP="0017042C">
      <w:pPr>
        <w:ind w:firstLine="1418"/>
        <w:jc w:val="both"/>
      </w:pPr>
    </w:p>
    <w:p w14:paraId="79E4177B" w14:textId="77777777" w:rsidR="009654CD" w:rsidRDefault="009654CD" w:rsidP="0017042C">
      <w:pPr>
        <w:ind w:firstLine="1418"/>
        <w:jc w:val="both"/>
      </w:pPr>
    </w:p>
    <w:p w14:paraId="3E65C10B" w14:textId="77777777" w:rsidR="009654CD" w:rsidRDefault="009654CD" w:rsidP="0017042C">
      <w:pPr>
        <w:ind w:firstLine="1418"/>
        <w:jc w:val="both"/>
      </w:pPr>
    </w:p>
    <w:p w14:paraId="60ABAA78" w14:textId="77777777" w:rsidR="009654CD" w:rsidRDefault="009654CD" w:rsidP="0017042C">
      <w:pPr>
        <w:ind w:firstLine="1418"/>
        <w:jc w:val="both"/>
      </w:pPr>
    </w:p>
    <w:p w14:paraId="34B7B7E1" w14:textId="77777777" w:rsidR="009654CD" w:rsidRDefault="009654CD" w:rsidP="0017042C">
      <w:pPr>
        <w:ind w:firstLine="1418"/>
        <w:jc w:val="both"/>
      </w:pPr>
    </w:p>
    <w:p w14:paraId="0715F700" w14:textId="77777777" w:rsidR="009654CD" w:rsidRDefault="009654CD" w:rsidP="0017042C">
      <w:pPr>
        <w:ind w:firstLine="1418"/>
        <w:jc w:val="both"/>
      </w:pPr>
    </w:p>
    <w:p w14:paraId="70B180AE" w14:textId="77777777" w:rsidR="009654CD" w:rsidRDefault="009654CD" w:rsidP="0017042C">
      <w:pPr>
        <w:ind w:firstLine="1418"/>
        <w:jc w:val="both"/>
      </w:pPr>
    </w:p>
    <w:p w14:paraId="64A29090" w14:textId="77777777" w:rsidR="00191914" w:rsidRDefault="00191914" w:rsidP="0017042C">
      <w:pPr>
        <w:ind w:firstLine="1418"/>
        <w:jc w:val="both"/>
      </w:pPr>
    </w:p>
    <w:p w14:paraId="4B90E02B" w14:textId="77777777" w:rsidR="00191914" w:rsidRDefault="00191914" w:rsidP="0017042C">
      <w:pPr>
        <w:ind w:firstLine="1418"/>
        <w:jc w:val="both"/>
      </w:pPr>
    </w:p>
    <w:p w14:paraId="0FF4B521" w14:textId="77777777" w:rsidR="00191914" w:rsidRDefault="00191914" w:rsidP="0017042C">
      <w:pPr>
        <w:ind w:firstLine="1418"/>
        <w:jc w:val="both"/>
      </w:pPr>
    </w:p>
    <w:p w14:paraId="39D56EDB" w14:textId="77777777" w:rsidR="00191914" w:rsidRDefault="00191914" w:rsidP="0017042C">
      <w:pPr>
        <w:ind w:firstLine="1418"/>
        <w:jc w:val="both"/>
      </w:pPr>
    </w:p>
    <w:p w14:paraId="4C0AA66B" w14:textId="77777777" w:rsidR="00191914" w:rsidRDefault="00191914" w:rsidP="0017042C">
      <w:pPr>
        <w:ind w:firstLine="1418"/>
        <w:jc w:val="both"/>
      </w:pPr>
    </w:p>
    <w:p w14:paraId="4F9F2F10" w14:textId="77777777" w:rsidR="00191914" w:rsidRDefault="00191914" w:rsidP="0017042C">
      <w:pPr>
        <w:ind w:firstLine="1418"/>
        <w:jc w:val="both"/>
      </w:pPr>
    </w:p>
    <w:p w14:paraId="28DD4AA3" w14:textId="77777777" w:rsidR="00191914" w:rsidRDefault="00191914" w:rsidP="0017042C">
      <w:pPr>
        <w:ind w:firstLine="1418"/>
        <w:jc w:val="both"/>
      </w:pPr>
    </w:p>
    <w:p w14:paraId="4C85102D" w14:textId="77777777" w:rsidR="00191914" w:rsidRDefault="00191914" w:rsidP="0017042C">
      <w:pPr>
        <w:ind w:firstLine="1418"/>
        <w:jc w:val="both"/>
      </w:pPr>
    </w:p>
    <w:p w14:paraId="27CA7AB2" w14:textId="77777777" w:rsidR="00191914" w:rsidRDefault="00191914" w:rsidP="0017042C">
      <w:pPr>
        <w:ind w:firstLine="1418"/>
        <w:jc w:val="both"/>
      </w:pPr>
    </w:p>
    <w:p w14:paraId="1DD1CB2B" w14:textId="77777777" w:rsidR="00191914" w:rsidRDefault="00191914" w:rsidP="0017042C">
      <w:pPr>
        <w:ind w:firstLine="1418"/>
        <w:jc w:val="both"/>
      </w:pPr>
    </w:p>
    <w:p w14:paraId="146BF58F" w14:textId="77777777" w:rsidR="00191914" w:rsidRDefault="00191914" w:rsidP="0017042C">
      <w:pPr>
        <w:ind w:firstLine="1418"/>
        <w:jc w:val="both"/>
      </w:pPr>
    </w:p>
    <w:p w14:paraId="0CB826A0" w14:textId="77777777" w:rsidR="00191914" w:rsidRDefault="00191914" w:rsidP="0017042C">
      <w:pPr>
        <w:ind w:firstLine="1418"/>
        <w:jc w:val="both"/>
      </w:pPr>
    </w:p>
    <w:p w14:paraId="0FAE7A08" w14:textId="77777777" w:rsidR="00191914" w:rsidRDefault="00191914" w:rsidP="0017042C">
      <w:pPr>
        <w:ind w:firstLine="1418"/>
        <w:jc w:val="both"/>
      </w:pPr>
    </w:p>
    <w:p w14:paraId="338C3756" w14:textId="77777777" w:rsidR="00191914" w:rsidRDefault="00191914" w:rsidP="0017042C">
      <w:pPr>
        <w:ind w:firstLine="1418"/>
        <w:jc w:val="both"/>
      </w:pPr>
    </w:p>
    <w:p w14:paraId="25339B16" w14:textId="77777777" w:rsidR="00191914" w:rsidRDefault="00191914" w:rsidP="0017042C">
      <w:pPr>
        <w:ind w:firstLine="1418"/>
        <w:jc w:val="both"/>
      </w:pPr>
    </w:p>
    <w:p w14:paraId="47D1615A" w14:textId="77777777" w:rsidR="00191914" w:rsidRDefault="00191914" w:rsidP="0017042C">
      <w:pPr>
        <w:ind w:firstLine="1418"/>
        <w:jc w:val="both"/>
      </w:pPr>
    </w:p>
    <w:p w14:paraId="469082AD" w14:textId="77777777" w:rsidR="00191914" w:rsidRDefault="00191914" w:rsidP="0017042C">
      <w:pPr>
        <w:ind w:firstLine="1418"/>
        <w:jc w:val="both"/>
      </w:pPr>
    </w:p>
    <w:p w14:paraId="30F1FD8A" w14:textId="77777777" w:rsidR="00C96171" w:rsidRDefault="00C96171" w:rsidP="0017042C">
      <w:pPr>
        <w:ind w:firstLine="1418"/>
        <w:jc w:val="both"/>
      </w:pPr>
    </w:p>
    <w:p w14:paraId="4E98770A" w14:textId="77777777" w:rsidR="00C96171" w:rsidRDefault="00C96171" w:rsidP="0017042C">
      <w:pPr>
        <w:ind w:firstLine="1418"/>
        <w:jc w:val="both"/>
      </w:pPr>
    </w:p>
    <w:p w14:paraId="4A1BA7A7" w14:textId="77777777" w:rsidR="00C96171" w:rsidRDefault="00C96171" w:rsidP="0017042C">
      <w:pPr>
        <w:ind w:firstLine="1418"/>
        <w:jc w:val="both"/>
      </w:pPr>
    </w:p>
    <w:p w14:paraId="21FB9686" w14:textId="77777777" w:rsidR="00C96171" w:rsidRDefault="00C96171" w:rsidP="0017042C">
      <w:pPr>
        <w:ind w:firstLine="1418"/>
        <w:jc w:val="both"/>
      </w:pPr>
    </w:p>
    <w:p w14:paraId="4BCA58E3" w14:textId="77777777" w:rsidR="00C96171" w:rsidRDefault="00C96171" w:rsidP="0017042C">
      <w:pPr>
        <w:ind w:firstLine="1418"/>
        <w:jc w:val="both"/>
      </w:pPr>
    </w:p>
    <w:p w14:paraId="2CC0DDE0" w14:textId="77777777" w:rsidR="00C96171" w:rsidRDefault="00C96171" w:rsidP="0017042C">
      <w:pPr>
        <w:ind w:firstLine="1418"/>
        <w:jc w:val="both"/>
      </w:pPr>
    </w:p>
    <w:p w14:paraId="7E0C92F1" w14:textId="77777777" w:rsidR="00C96171" w:rsidRDefault="00C96171" w:rsidP="0017042C">
      <w:pPr>
        <w:ind w:firstLine="1418"/>
        <w:jc w:val="both"/>
      </w:pPr>
    </w:p>
    <w:p w14:paraId="436E2D13" w14:textId="77777777" w:rsidR="00BE065D" w:rsidRDefault="00BE065D" w:rsidP="0017042C">
      <w:pPr>
        <w:ind w:firstLine="1418"/>
        <w:jc w:val="both"/>
      </w:pPr>
    </w:p>
    <w:p w14:paraId="74C3FFC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E224" w14:textId="77777777" w:rsidR="00054914" w:rsidRDefault="00054914">
      <w:r>
        <w:separator/>
      </w:r>
    </w:p>
  </w:endnote>
  <w:endnote w:type="continuationSeparator" w:id="0">
    <w:p w14:paraId="011E5C8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9D2C" w14:textId="77777777" w:rsidR="00054914" w:rsidRDefault="00054914">
      <w:r>
        <w:separator/>
      </w:r>
    </w:p>
  </w:footnote>
  <w:footnote w:type="continuationSeparator" w:id="0">
    <w:p w14:paraId="41540FFA" w14:textId="77777777" w:rsidR="00054914" w:rsidRDefault="00054914">
      <w:r>
        <w:continuationSeparator/>
      </w:r>
    </w:p>
  </w:footnote>
  <w:footnote w:id="1">
    <w:p w14:paraId="48128923" w14:textId="77777777" w:rsidR="00210487" w:rsidRDefault="00210487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210487">
        <w:t>TJ-SP - ADI: 21277274920168260000 SP 2127727-49.2016.8.26.0000, Relator: Des. João Carlos Saletti, Data de Julgamento: 05/04/2017, Órgão Especial, Data de Publicação: 06/04/2017</w:t>
      </w:r>
      <w:r>
        <w:t>.</w:t>
      </w:r>
    </w:p>
  </w:footnote>
  <w:footnote w:id="2">
    <w:p w14:paraId="0A23E653" w14:textId="77777777" w:rsidR="0091038A" w:rsidRDefault="0091038A" w:rsidP="000912C8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Fonte: </w:t>
      </w:r>
      <w:r w:rsidRPr="0091038A">
        <w:t>TJ-ES - ADI: 00013158920088080000, Relator: Des. (a) CATHARINA MARIA NOVAES BARCELLOS, Data de Julgamento: 18/06/2009, TRIBUNAL PLENO, Data de Publicação: 06/07/2009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BFA4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BA882" wp14:editId="144C242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362D86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E572F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2145ECE" w14:textId="77777777" w:rsidR="00244AC2" w:rsidRDefault="00244AC2" w:rsidP="00244AC2">
    <w:pPr>
      <w:pStyle w:val="Cabealho"/>
      <w:jc w:val="right"/>
      <w:rPr>
        <w:b/>
        <w:bCs/>
      </w:rPr>
    </w:pPr>
  </w:p>
  <w:p w14:paraId="6285BC95" w14:textId="006B278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53964">
      <w:rPr>
        <w:b/>
        <w:bCs/>
      </w:rPr>
      <w:t>0360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3FA07F5E" w14:textId="373F855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53964">
      <w:rPr>
        <w:b/>
        <w:bCs/>
      </w:rPr>
      <w:t>165</w:t>
    </w:r>
    <w:r w:rsidR="009339B1">
      <w:rPr>
        <w:b/>
        <w:bCs/>
      </w:rPr>
      <w:t>/</w:t>
    </w:r>
    <w:r w:rsidR="00D53964">
      <w:rPr>
        <w:b/>
        <w:bCs/>
      </w:rPr>
      <w:t>19</w:t>
    </w:r>
  </w:p>
  <w:p w14:paraId="0B42FE76" w14:textId="77777777" w:rsidR="00244AC2" w:rsidRDefault="00244AC2" w:rsidP="00244AC2">
    <w:pPr>
      <w:pStyle w:val="Cabealho"/>
      <w:jc w:val="right"/>
      <w:rPr>
        <w:b/>
        <w:bCs/>
      </w:rPr>
    </w:pPr>
  </w:p>
  <w:p w14:paraId="2428A905" w14:textId="77777777" w:rsidR="00244AC2" w:rsidRDefault="00244AC2" w:rsidP="00244AC2">
    <w:pPr>
      <w:pStyle w:val="Cabealho"/>
      <w:jc w:val="right"/>
      <w:rPr>
        <w:b/>
        <w:bCs/>
      </w:rPr>
    </w:pPr>
  </w:p>
  <w:p w14:paraId="46E8E87A" w14:textId="77777777" w:rsidR="00BE065D" w:rsidRDefault="00BE065D" w:rsidP="00244AC2">
    <w:pPr>
      <w:pStyle w:val="Cabealho"/>
      <w:jc w:val="right"/>
      <w:rPr>
        <w:b/>
        <w:bCs/>
      </w:rPr>
    </w:pPr>
  </w:p>
  <w:p w14:paraId="702B6AF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12C8"/>
    <w:rsid w:val="000962D6"/>
    <w:rsid w:val="000A5F43"/>
    <w:rsid w:val="000B5093"/>
    <w:rsid w:val="000F535A"/>
    <w:rsid w:val="00107096"/>
    <w:rsid w:val="00115D7B"/>
    <w:rsid w:val="0014117F"/>
    <w:rsid w:val="0015472C"/>
    <w:rsid w:val="0017042C"/>
    <w:rsid w:val="00191914"/>
    <w:rsid w:val="00192984"/>
    <w:rsid w:val="001B2B59"/>
    <w:rsid w:val="001D4042"/>
    <w:rsid w:val="001D6044"/>
    <w:rsid w:val="001E3D3B"/>
    <w:rsid w:val="0020384D"/>
    <w:rsid w:val="00210487"/>
    <w:rsid w:val="0022651D"/>
    <w:rsid w:val="00244AC2"/>
    <w:rsid w:val="00254F83"/>
    <w:rsid w:val="00281135"/>
    <w:rsid w:val="00291447"/>
    <w:rsid w:val="002C2775"/>
    <w:rsid w:val="002D61AC"/>
    <w:rsid w:val="002E756C"/>
    <w:rsid w:val="00315948"/>
    <w:rsid w:val="0032174A"/>
    <w:rsid w:val="00322580"/>
    <w:rsid w:val="003363CE"/>
    <w:rsid w:val="003544CB"/>
    <w:rsid w:val="0036703E"/>
    <w:rsid w:val="00373DC4"/>
    <w:rsid w:val="00381F87"/>
    <w:rsid w:val="0039795E"/>
    <w:rsid w:val="003C0D52"/>
    <w:rsid w:val="003C3F21"/>
    <w:rsid w:val="003D35A4"/>
    <w:rsid w:val="003D7FC5"/>
    <w:rsid w:val="003E3231"/>
    <w:rsid w:val="003E4786"/>
    <w:rsid w:val="004076BB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00F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032CD"/>
    <w:rsid w:val="00831400"/>
    <w:rsid w:val="00837E3C"/>
    <w:rsid w:val="00847E49"/>
    <w:rsid w:val="00855B81"/>
    <w:rsid w:val="00876FAE"/>
    <w:rsid w:val="0089741A"/>
    <w:rsid w:val="008C3A1B"/>
    <w:rsid w:val="008E581F"/>
    <w:rsid w:val="008F3AC8"/>
    <w:rsid w:val="0091038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4AE4"/>
    <w:rsid w:val="00A753D4"/>
    <w:rsid w:val="00A810BB"/>
    <w:rsid w:val="00AC2218"/>
    <w:rsid w:val="00B03454"/>
    <w:rsid w:val="00B203DA"/>
    <w:rsid w:val="00B279B9"/>
    <w:rsid w:val="00B308CD"/>
    <w:rsid w:val="00B40877"/>
    <w:rsid w:val="00B4214A"/>
    <w:rsid w:val="00B93804"/>
    <w:rsid w:val="00B93FF9"/>
    <w:rsid w:val="00BE065D"/>
    <w:rsid w:val="00C03878"/>
    <w:rsid w:val="00C72428"/>
    <w:rsid w:val="00C90D2B"/>
    <w:rsid w:val="00C9395B"/>
    <w:rsid w:val="00C96171"/>
    <w:rsid w:val="00CA0680"/>
    <w:rsid w:val="00CA5C69"/>
    <w:rsid w:val="00CB02AD"/>
    <w:rsid w:val="00CB4EF9"/>
    <w:rsid w:val="00CD7A70"/>
    <w:rsid w:val="00D00992"/>
    <w:rsid w:val="00D03911"/>
    <w:rsid w:val="00D47542"/>
    <w:rsid w:val="00D53964"/>
    <w:rsid w:val="00D63064"/>
    <w:rsid w:val="00D71299"/>
    <w:rsid w:val="00D84060"/>
    <w:rsid w:val="00D854CC"/>
    <w:rsid w:val="00D903DD"/>
    <w:rsid w:val="00DA71C8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B5A68"/>
    <w:rsid w:val="00EC0C7A"/>
    <w:rsid w:val="00EE3E86"/>
    <w:rsid w:val="00EF3D40"/>
    <w:rsid w:val="00F05832"/>
    <w:rsid w:val="00F432AC"/>
    <w:rsid w:val="00F91FB6"/>
    <w:rsid w:val="00F94E39"/>
    <w:rsid w:val="00FC227D"/>
    <w:rsid w:val="00FC43CC"/>
    <w:rsid w:val="00FE00ED"/>
    <w:rsid w:val="00FE572F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7A428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B5A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5A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5A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A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C778-17E9-41EC-9C95-33B0104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246</TotalTime>
  <Pages>4</Pages>
  <Words>1558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26</cp:revision>
  <cp:lastPrinted>2015-02-24T14:27:00Z</cp:lastPrinted>
  <dcterms:created xsi:type="dcterms:W3CDTF">2019-08-05T14:04:00Z</dcterms:created>
  <dcterms:modified xsi:type="dcterms:W3CDTF">2019-08-12T17:46:00Z</dcterms:modified>
</cp:coreProperties>
</file>