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t xml:space="preserve">A Lei nº 11.746, de 19 de dezembro de 2014, que figura no objeto da presente </w:t>
      </w:r>
      <w:r w:rsidR="00BD1099">
        <w:rPr>
          <w:rFonts w:eastAsia="Calibri"/>
          <w:lang w:eastAsia="en-US"/>
        </w:rPr>
        <w:t>p</w:t>
      </w:r>
      <w:r w:rsidRPr="009A4D17">
        <w:rPr>
          <w:rFonts w:eastAsia="Calibri"/>
          <w:lang w:eastAsia="en-US"/>
        </w:rPr>
        <w:t xml:space="preserve">roposta de revogação, obriga os bares, restaurantes e congêneres do Município de Porto Alegre a conceder desconto especial ou a oferecer prato especial de porção reduzida às pessoas que tenham realizado cirurgia bariátrica ou outra gastroplastia. Entretanto, a referida </w:t>
      </w:r>
      <w:r w:rsidR="00DE2E9C">
        <w:rPr>
          <w:rFonts w:eastAsia="Calibri"/>
          <w:lang w:eastAsia="en-US"/>
        </w:rPr>
        <w:t>L</w:t>
      </w:r>
      <w:r w:rsidRPr="009A4D17">
        <w:rPr>
          <w:rFonts w:eastAsia="Calibri"/>
          <w:lang w:eastAsia="en-US"/>
        </w:rPr>
        <w:t>ei representa uma violação de diversas liberdades constitucionalmente asseguradas</w:t>
      </w:r>
      <w:r w:rsidR="00DE2E9C">
        <w:rPr>
          <w:rFonts w:eastAsia="Calibri"/>
          <w:lang w:eastAsia="en-US"/>
        </w:rPr>
        <w:t>,</w:t>
      </w:r>
      <w:r w:rsidRPr="009A4D17">
        <w:rPr>
          <w:rFonts w:eastAsia="Calibri"/>
          <w:lang w:eastAsia="en-US"/>
        </w:rPr>
        <w:t xml:space="preserve"> o que, inclusive, havia sido apontado pela Procuradoria desta Casa</w:t>
      </w:r>
      <w:r w:rsidR="00DE2E9C">
        <w:rPr>
          <w:rFonts w:eastAsia="Calibri"/>
          <w:lang w:eastAsia="en-US"/>
        </w:rPr>
        <w:t xml:space="preserve"> Legislativa,</w:t>
      </w:r>
      <w:r w:rsidRPr="009A4D17">
        <w:rPr>
          <w:rFonts w:eastAsia="Calibri"/>
          <w:lang w:eastAsia="en-US"/>
        </w:rPr>
        <w:t xml:space="preserve"> à época da tramitação do </w:t>
      </w:r>
      <w:r w:rsidR="00163F76" w:rsidRPr="00163F76">
        <w:rPr>
          <w:rFonts w:eastAsia="Calibri"/>
          <w:lang w:eastAsia="en-US"/>
        </w:rPr>
        <w:t xml:space="preserve">Proc. </w:t>
      </w:r>
      <w:r w:rsidR="00163F76">
        <w:rPr>
          <w:rFonts w:eastAsia="Calibri"/>
          <w:lang w:eastAsia="en-US"/>
        </w:rPr>
        <w:t>n</w:t>
      </w:r>
      <w:r w:rsidR="00163F76" w:rsidRPr="00163F76">
        <w:rPr>
          <w:rFonts w:eastAsia="Calibri"/>
          <w:lang w:eastAsia="en-US"/>
        </w:rPr>
        <w:t>º 1298/13</w:t>
      </w:r>
      <w:r w:rsidR="00163F76">
        <w:rPr>
          <w:rFonts w:eastAsia="Calibri"/>
          <w:lang w:eastAsia="en-US"/>
        </w:rPr>
        <w:t xml:space="preserve"> –</w:t>
      </w:r>
      <w:r w:rsidRPr="009A4D17">
        <w:rPr>
          <w:rFonts w:eastAsia="Calibri"/>
          <w:lang w:eastAsia="en-US"/>
        </w:rPr>
        <w:t>PLL 118/13</w:t>
      </w:r>
      <w:r w:rsidR="00163F76">
        <w:rPr>
          <w:rFonts w:eastAsia="Calibri"/>
          <w:lang w:eastAsia="en-US"/>
        </w:rPr>
        <w:t xml:space="preserve"> –</w:t>
      </w:r>
      <w:r w:rsidRPr="009A4D17">
        <w:rPr>
          <w:rFonts w:eastAsia="Calibri"/>
          <w:lang w:eastAsia="en-US"/>
        </w:rPr>
        <w:t xml:space="preserve">, que culminou com a edição da referida </w:t>
      </w:r>
      <w:r w:rsidR="00DE2E9C">
        <w:rPr>
          <w:rFonts w:eastAsia="Calibri"/>
          <w:lang w:eastAsia="en-US"/>
        </w:rPr>
        <w:t>L</w:t>
      </w:r>
      <w:r w:rsidRPr="009A4D17">
        <w:rPr>
          <w:rFonts w:eastAsia="Calibri"/>
          <w:lang w:eastAsia="en-US"/>
        </w:rPr>
        <w:t xml:space="preserve">ei </w:t>
      </w:r>
      <w:r w:rsidR="00DE2E9C">
        <w:rPr>
          <w:rFonts w:eastAsia="Calibri"/>
          <w:lang w:eastAsia="en-US"/>
        </w:rPr>
        <w:t>M</w:t>
      </w:r>
      <w:r w:rsidRPr="009A4D17">
        <w:rPr>
          <w:rFonts w:eastAsia="Calibri"/>
          <w:lang w:eastAsia="en-US"/>
        </w:rPr>
        <w:t>unicipal.</w:t>
      </w: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t>O Brasil, ao promulgar a Constituição</w:t>
      </w:r>
      <w:r w:rsidR="0049694C">
        <w:rPr>
          <w:rFonts w:eastAsia="Calibri"/>
          <w:lang w:eastAsia="en-US"/>
        </w:rPr>
        <w:t xml:space="preserve"> Federal</w:t>
      </w:r>
      <w:r w:rsidRPr="009A4D17">
        <w:rPr>
          <w:rFonts w:eastAsia="Calibri"/>
          <w:lang w:eastAsia="en-US"/>
        </w:rPr>
        <w:t xml:space="preserve"> de 1988, estabeleceu como fundamento da República</w:t>
      </w:r>
      <w:r w:rsidR="0049694C">
        <w:rPr>
          <w:rStyle w:val="Refdenotaderodap"/>
          <w:rFonts w:eastAsia="Calibri"/>
          <w:lang w:eastAsia="en-US"/>
        </w:rPr>
        <w:footnoteReference w:id="1"/>
      </w:r>
      <w:r w:rsidR="0049694C">
        <w:rPr>
          <w:rFonts w:eastAsia="Calibri"/>
          <w:lang w:eastAsia="en-US"/>
        </w:rPr>
        <w:t xml:space="preserve"> </w:t>
      </w:r>
      <w:r w:rsidRPr="009A4D17">
        <w:rPr>
          <w:rFonts w:eastAsia="Calibri"/>
          <w:lang w:eastAsia="en-US"/>
        </w:rPr>
        <w:t>e da ordem econômica</w:t>
      </w:r>
      <w:r w:rsidR="0049694C">
        <w:rPr>
          <w:rStyle w:val="Refdenotaderodap"/>
          <w:rFonts w:eastAsia="Calibri"/>
          <w:lang w:eastAsia="en-US"/>
        </w:rPr>
        <w:footnoteReference w:id="2"/>
      </w:r>
      <w:r w:rsidR="0049694C">
        <w:rPr>
          <w:rFonts w:eastAsia="Calibri"/>
          <w:lang w:eastAsia="en-US"/>
        </w:rPr>
        <w:t xml:space="preserve"> </w:t>
      </w:r>
      <w:r w:rsidRPr="009A4D17">
        <w:rPr>
          <w:rFonts w:eastAsia="Calibri"/>
          <w:lang w:eastAsia="en-US"/>
        </w:rPr>
        <w:t xml:space="preserve">a livre iniciativa, determinando que a autonomia para estabelecer os preços dos bens e serviços pertence aos empreendedores e não ao </w:t>
      </w:r>
      <w:r w:rsidR="009C3EC1">
        <w:rPr>
          <w:rFonts w:eastAsia="Calibri"/>
          <w:lang w:eastAsia="en-US"/>
        </w:rPr>
        <w:t>P</w:t>
      </w:r>
      <w:r w:rsidRPr="009A4D17">
        <w:rPr>
          <w:rFonts w:eastAsia="Calibri"/>
          <w:lang w:eastAsia="en-US"/>
        </w:rPr>
        <w:t xml:space="preserve">oder </w:t>
      </w:r>
      <w:r w:rsidR="009C3EC1">
        <w:rPr>
          <w:rFonts w:eastAsia="Calibri"/>
          <w:lang w:eastAsia="en-US"/>
        </w:rPr>
        <w:t>P</w:t>
      </w:r>
      <w:r w:rsidRPr="009A4D17">
        <w:rPr>
          <w:rFonts w:eastAsia="Calibri"/>
          <w:lang w:eastAsia="en-US"/>
        </w:rPr>
        <w:t>úblico. Por consequência, também não incumbe ao legislador dispor sobre descontos, promoções ou o tamanho das porções a serem oferecidas pela iniciativa privada na exploração de sua atividade econômica.</w:t>
      </w: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t xml:space="preserve">No plano formal, a </w:t>
      </w:r>
      <w:r w:rsidR="009C3EC1">
        <w:rPr>
          <w:rFonts w:eastAsia="Calibri"/>
          <w:lang w:eastAsia="en-US"/>
        </w:rPr>
        <w:t>L</w:t>
      </w:r>
      <w:r w:rsidRPr="009A4D17">
        <w:rPr>
          <w:rFonts w:eastAsia="Calibri"/>
          <w:lang w:eastAsia="en-US"/>
        </w:rPr>
        <w:t>ei extrapola as competências legislativas municipais. A competência para legislar sobre direito do consumidor pertence</w:t>
      </w:r>
      <w:r w:rsidR="009C3EC1">
        <w:rPr>
          <w:rFonts w:eastAsia="Calibri"/>
          <w:lang w:eastAsia="en-US"/>
        </w:rPr>
        <w:t>,</w:t>
      </w:r>
      <w:r w:rsidRPr="009A4D17">
        <w:rPr>
          <w:rFonts w:eastAsia="Calibri"/>
          <w:lang w:eastAsia="en-US"/>
        </w:rPr>
        <w:t xml:space="preserve"> segundo o art. 24,</w:t>
      </w:r>
      <w:r w:rsidR="009C3EC1">
        <w:rPr>
          <w:rFonts w:eastAsia="Calibri"/>
          <w:lang w:eastAsia="en-US"/>
        </w:rPr>
        <w:t xml:space="preserve"> inc.</w:t>
      </w:r>
      <w:r w:rsidRPr="009A4D17">
        <w:rPr>
          <w:rFonts w:eastAsia="Calibri"/>
          <w:lang w:eastAsia="en-US"/>
        </w:rPr>
        <w:t xml:space="preserve"> V, da Constituição Federal</w:t>
      </w:r>
      <w:r w:rsidR="009C3EC1">
        <w:rPr>
          <w:rFonts w:eastAsia="Calibri"/>
          <w:lang w:eastAsia="en-US"/>
        </w:rPr>
        <w:t xml:space="preserve"> de 1988,</w:t>
      </w:r>
      <w:r w:rsidRPr="009A4D17">
        <w:rPr>
          <w:rFonts w:eastAsia="Calibri"/>
          <w:lang w:eastAsia="en-US"/>
        </w:rPr>
        <w:t xml:space="preserve"> à União, aos Estados e ao Distrito Federal, tendo, inclusive, o Supremo Tribunal Federal já se manifestado sobre a temática</w:t>
      </w:r>
      <w:r w:rsidR="009C3EC1">
        <w:rPr>
          <w:rStyle w:val="Refdenotaderodap"/>
          <w:rFonts w:eastAsia="Calibri"/>
          <w:lang w:eastAsia="en-US"/>
        </w:rPr>
        <w:footnoteReference w:id="3"/>
      </w:r>
      <w:r w:rsidRPr="009A4D17">
        <w:rPr>
          <w:rFonts w:eastAsia="Calibri"/>
          <w:lang w:eastAsia="en-US"/>
        </w:rPr>
        <w:t xml:space="preserve">. Ainda, salienta-se que a matéria abordada pela </w:t>
      </w:r>
      <w:r w:rsidR="009C3EC1" w:rsidRPr="009A4D17">
        <w:rPr>
          <w:rFonts w:eastAsia="Calibri"/>
          <w:lang w:eastAsia="en-US"/>
        </w:rPr>
        <w:t>Lei nº 11.746, de 2014</w:t>
      </w:r>
      <w:r w:rsidR="009C3EC1">
        <w:rPr>
          <w:rFonts w:eastAsia="Calibri"/>
          <w:lang w:eastAsia="en-US"/>
        </w:rPr>
        <w:t>,</w:t>
      </w:r>
      <w:r w:rsidRPr="009A4D17">
        <w:rPr>
          <w:rFonts w:eastAsia="Calibri"/>
          <w:lang w:eastAsia="en-US"/>
        </w:rPr>
        <w:t xml:space="preserve"> não pode ser reconhecida como de interesse local, uma vez que seus efeitos transcendem a municipalidade.</w:t>
      </w: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t xml:space="preserve">Isso ocorre porque a </w:t>
      </w:r>
      <w:r w:rsidR="009C3EC1">
        <w:rPr>
          <w:rFonts w:eastAsia="Calibri"/>
          <w:lang w:eastAsia="en-US"/>
        </w:rPr>
        <w:t>L</w:t>
      </w:r>
      <w:r w:rsidRPr="009A4D17">
        <w:rPr>
          <w:rFonts w:eastAsia="Calibri"/>
          <w:lang w:eastAsia="en-US"/>
        </w:rPr>
        <w:t>ei concede o benefício para qualquer pessoa que tenha passado pelo procedimento cirúrgico, independentemente de essa residir em Porto Alegre ou, sequer, no Brasil. Nesse sentido, a norma não disciplina assunto predominantemente local, conforme dispõe o art. 30,</w:t>
      </w:r>
      <w:r w:rsidR="00E843C8">
        <w:rPr>
          <w:rFonts w:eastAsia="Calibri"/>
          <w:lang w:eastAsia="en-US"/>
        </w:rPr>
        <w:t xml:space="preserve"> inc.</w:t>
      </w:r>
      <w:r w:rsidRPr="009A4D17">
        <w:rPr>
          <w:rFonts w:eastAsia="Calibri"/>
          <w:lang w:eastAsia="en-US"/>
        </w:rPr>
        <w:t xml:space="preserve"> I, da Constituição Federal</w:t>
      </w:r>
      <w:r w:rsidR="00E843C8">
        <w:rPr>
          <w:rFonts w:eastAsia="Calibri"/>
          <w:lang w:eastAsia="en-US"/>
        </w:rPr>
        <w:t xml:space="preserve"> de 1988</w:t>
      </w:r>
      <w:r w:rsidRPr="009A4D17">
        <w:rPr>
          <w:rFonts w:eastAsia="Calibri"/>
          <w:lang w:eastAsia="en-US"/>
        </w:rPr>
        <w:t>.</w:t>
      </w: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</w:p>
    <w:p w:rsidR="009A4D17" w:rsidRPr="009A4D17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t xml:space="preserve">Esses foram os fundamentos jurídicos que embasaram os acórdãos exarados pelos </w:t>
      </w:r>
      <w:r w:rsidR="00FB64C2">
        <w:rPr>
          <w:rFonts w:eastAsia="Calibri"/>
          <w:lang w:eastAsia="en-US"/>
        </w:rPr>
        <w:t>t</w:t>
      </w:r>
      <w:r w:rsidRPr="009A4D17">
        <w:rPr>
          <w:rFonts w:eastAsia="Calibri"/>
          <w:lang w:eastAsia="en-US"/>
        </w:rPr>
        <w:t xml:space="preserve">ribunais de </w:t>
      </w:r>
      <w:r w:rsidR="00FB64C2">
        <w:rPr>
          <w:rFonts w:eastAsia="Calibri"/>
          <w:lang w:eastAsia="en-US"/>
        </w:rPr>
        <w:t>j</w:t>
      </w:r>
      <w:r w:rsidRPr="009A4D17">
        <w:rPr>
          <w:rFonts w:eastAsia="Calibri"/>
          <w:lang w:eastAsia="en-US"/>
        </w:rPr>
        <w:t xml:space="preserve">ustiça do </w:t>
      </w:r>
      <w:r w:rsidR="00FB64C2">
        <w:rPr>
          <w:rFonts w:eastAsia="Calibri"/>
          <w:lang w:eastAsia="en-US"/>
        </w:rPr>
        <w:t>E</w:t>
      </w:r>
      <w:r w:rsidRPr="009A4D17">
        <w:rPr>
          <w:rFonts w:eastAsia="Calibri"/>
          <w:lang w:eastAsia="en-US"/>
        </w:rPr>
        <w:t>stado de São Paulo e do</w:t>
      </w:r>
      <w:r w:rsidR="00FB64C2">
        <w:rPr>
          <w:rFonts w:eastAsia="Calibri"/>
          <w:lang w:eastAsia="en-US"/>
        </w:rPr>
        <w:t xml:space="preserve"> Estado do</w:t>
      </w:r>
      <w:r w:rsidRPr="009A4D17">
        <w:rPr>
          <w:rFonts w:eastAsia="Calibri"/>
          <w:lang w:eastAsia="en-US"/>
        </w:rPr>
        <w:t xml:space="preserve"> Mato Grosso do Sul, que declararam inconstitucionais as leis que determinavam descontos em restaurantes para pessoas que passaram por cirurgias bariátricas ou outras </w:t>
      </w:r>
      <w:proofErr w:type="spellStart"/>
      <w:r w:rsidRPr="009A4D17">
        <w:rPr>
          <w:rFonts w:eastAsia="Calibri"/>
          <w:lang w:eastAsia="en-US"/>
        </w:rPr>
        <w:t>gastroplastias</w:t>
      </w:r>
      <w:proofErr w:type="spellEnd"/>
      <w:r w:rsidRPr="009A4D17">
        <w:rPr>
          <w:rFonts w:eastAsia="Calibri"/>
          <w:lang w:eastAsia="en-US"/>
        </w:rPr>
        <w:t xml:space="preserve">, editadas pelos </w:t>
      </w:r>
      <w:r w:rsidR="00FB64C2">
        <w:rPr>
          <w:rFonts w:eastAsia="Calibri"/>
          <w:lang w:eastAsia="en-US"/>
        </w:rPr>
        <w:t>m</w:t>
      </w:r>
      <w:r w:rsidRPr="009A4D17">
        <w:rPr>
          <w:rFonts w:eastAsia="Calibri"/>
          <w:lang w:eastAsia="en-US"/>
        </w:rPr>
        <w:t>unicípios de Campinas</w:t>
      </w:r>
      <w:r w:rsidR="00FB64C2">
        <w:rPr>
          <w:rStyle w:val="Refdenotaderodap"/>
          <w:rFonts w:eastAsia="Calibri"/>
          <w:lang w:eastAsia="en-US"/>
        </w:rPr>
        <w:footnoteReference w:id="4"/>
      </w:r>
      <w:r w:rsidRPr="009A4D17">
        <w:rPr>
          <w:rFonts w:eastAsia="Calibri"/>
          <w:lang w:eastAsia="en-US"/>
        </w:rPr>
        <w:t>, Osasco</w:t>
      </w:r>
      <w:r w:rsidR="00072B65">
        <w:rPr>
          <w:rStyle w:val="Refdenotaderodap"/>
          <w:rFonts w:eastAsia="Calibri"/>
          <w:lang w:eastAsia="en-US"/>
        </w:rPr>
        <w:footnoteReference w:id="5"/>
      </w:r>
      <w:r w:rsidRPr="009A4D17">
        <w:rPr>
          <w:rFonts w:eastAsia="Calibri"/>
          <w:lang w:eastAsia="en-US"/>
        </w:rPr>
        <w:t xml:space="preserve"> e Campo Grande</w:t>
      </w:r>
      <w:r w:rsidR="00072B65">
        <w:rPr>
          <w:rStyle w:val="Refdenotaderodap"/>
          <w:rFonts w:eastAsia="Calibri"/>
          <w:lang w:eastAsia="en-US"/>
        </w:rPr>
        <w:footnoteReference w:id="6"/>
      </w:r>
      <w:r w:rsidRPr="009A4D17">
        <w:rPr>
          <w:rFonts w:eastAsia="Calibri"/>
          <w:lang w:eastAsia="en-US"/>
        </w:rPr>
        <w:t>. Diante disso, não é razoável que o</w:t>
      </w:r>
      <w:r w:rsidR="005D5638">
        <w:rPr>
          <w:rFonts w:eastAsia="Calibri"/>
          <w:lang w:eastAsia="en-US"/>
        </w:rPr>
        <w:t xml:space="preserve"> Poder</w:t>
      </w:r>
      <w:r w:rsidRPr="009A4D17">
        <w:rPr>
          <w:rFonts w:eastAsia="Calibri"/>
          <w:lang w:eastAsia="en-US"/>
        </w:rPr>
        <w:t xml:space="preserve"> Legislativo aguarde a interposição de </w:t>
      </w:r>
      <w:r w:rsidR="005D5638">
        <w:rPr>
          <w:rFonts w:eastAsia="Calibri"/>
          <w:lang w:eastAsia="en-US"/>
        </w:rPr>
        <w:t>a</w:t>
      </w:r>
      <w:r w:rsidRPr="009A4D17">
        <w:rPr>
          <w:rFonts w:eastAsia="Calibri"/>
          <w:lang w:eastAsia="en-US"/>
        </w:rPr>
        <w:t xml:space="preserve">ção </w:t>
      </w:r>
      <w:r w:rsidR="005D5638">
        <w:rPr>
          <w:rFonts w:eastAsia="Calibri"/>
          <w:lang w:eastAsia="en-US"/>
        </w:rPr>
        <w:t>d</w:t>
      </w:r>
      <w:r w:rsidRPr="009A4D17">
        <w:rPr>
          <w:rFonts w:eastAsia="Calibri"/>
          <w:lang w:eastAsia="en-US"/>
        </w:rPr>
        <w:t xml:space="preserve">ireta de </w:t>
      </w:r>
      <w:r w:rsidR="005D5638">
        <w:rPr>
          <w:rFonts w:eastAsia="Calibri"/>
          <w:lang w:eastAsia="en-US"/>
        </w:rPr>
        <w:t>i</w:t>
      </w:r>
      <w:r w:rsidRPr="009A4D17">
        <w:rPr>
          <w:rFonts w:eastAsia="Calibri"/>
          <w:lang w:eastAsia="en-US"/>
        </w:rPr>
        <w:t>nconstitucionalidade, o que movimentaria o já sobrecarregado judiciário gaúcho, desperdiçando recursos públicos e fragilizando o trabalho da Câmara Municipal</w:t>
      </w:r>
      <w:r w:rsidR="005D5638">
        <w:rPr>
          <w:rFonts w:eastAsia="Calibri"/>
          <w:lang w:eastAsia="en-US"/>
        </w:rPr>
        <w:t xml:space="preserve"> de Porto alegre</w:t>
      </w:r>
      <w:r w:rsidRPr="009A4D17">
        <w:rPr>
          <w:rFonts w:eastAsia="Calibri"/>
          <w:lang w:eastAsia="en-US"/>
        </w:rPr>
        <w:t xml:space="preserve"> frente à sociedade.</w:t>
      </w:r>
    </w:p>
    <w:p w:rsidR="00115D7B" w:rsidRPr="00115D7B" w:rsidRDefault="009A4D17" w:rsidP="009A4D17">
      <w:pPr>
        <w:ind w:firstLine="1418"/>
        <w:jc w:val="both"/>
        <w:rPr>
          <w:rFonts w:eastAsia="Calibri"/>
          <w:lang w:eastAsia="en-US"/>
        </w:rPr>
      </w:pPr>
      <w:r w:rsidRPr="009A4D17">
        <w:rPr>
          <w:rFonts w:eastAsia="Calibri"/>
          <w:lang w:eastAsia="en-US"/>
        </w:rPr>
        <w:lastRenderedPageBreak/>
        <w:t xml:space="preserve">Ante o exposto, pleiteia-se o apoio dos nobres colegas para </w:t>
      </w:r>
      <w:r w:rsidR="00BC4E31">
        <w:rPr>
          <w:rFonts w:eastAsia="Calibri"/>
          <w:lang w:eastAsia="en-US"/>
        </w:rPr>
        <w:t xml:space="preserve">a </w:t>
      </w:r>
      <w:r w:rsidRPr="009A4D17">
        <w:rPr>
          <w:rFonts w:eastAsia="Calibri"/>
          <w:lang w:eastAsia="en-US"/>
        </w:rPr>
        <w:t xml:space="preserve">aprovação da presente </w:t>
      </w:r>
      <w:r w:rsidR="00BD1099">
        <w:rPr>
          <w:rFonts w:eastAsia="Calibri"/>
          <w:lang w:eastAsia="en-US"/>
        </w:rPr>
        <w:t>p</w:t>
      </w:r>
      <w:r w:rsidRPr="009A4D17">
        <w:rPr>
          <w:rFonts w:eastAsia="Calibri"/>
          <w:lang w:eastAsia="en-US"/>
        </w:rPr>
        <w:t>roposta revogatória, a fim de assegurar a higidez do arcabouço jurídico municipal e de proteger as liberdades econômicas consagradas pela Constituição Federal</w:t>
      </w:r>
      <w:r w:rsidR="003F54CD">
        <w:rPr>
          <w:rFonts w:eastAsia="Calibri"/>
          <w:lang w:eastAsia="en-US"/>
        </w:rPr>
        <w:t xml:space="preserve"> de 1988</w:t>
      </w:r>
      <w:r w:rsidRPr="009A4D17">
        <w:rPr>
          <w:rFonts w:eastAsia="Calibri"/>
          <w:lang w:eastAsia="en-US"/>
        </w:rPr>
        <w:t>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834165">
        <w:rPr>
          <w:rFonts w:eastAsia="Calibri"/>
          <w:lang w:eastAsia="en-US"/>
        </w:rPr>
        <w:t>14</w:t>
      </w:r>
      <w:r w:rsidR="00834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34165">
        <w:rPr>
          <w:rFonts w:eastAsia="Calibri"/>
          <w:lang w:eastAsia="en-US"/>
        </w:rPr>
        <w:t>outubro</w:t>
      </w:r>
      <w:r w:rsidR="00834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34165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12498C" w:rsidRPr="0012498C">
        <w:rPr>
          <w:rFonts w:eastAsia="Calibri"/>
          <w:lang w:eastAsia="en-US"/>
        </w:rPr>
        <w:t>FELIPE CAMOZZATO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9A4D1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9A4D17">
        <w:rPr>
          <w:b/>
        </w:rPr>
        <w:t>Revoga a Lei nº 11.746, de 19 de dezembro de 2014 – que obriga os bares, os restaurantes e os estabelecimentos similares a conceder desconto especial ou a oferecer prato especial de porção reduzida às pessoas que tenham realizado cirurgia bariátrica ou outra gastroplastia para redução do estômago.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9A4D17" w:rsidRDefault="000565FD" w:rsidP="009A4D17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9A4D17">
        <w:t>Fica</w:t>
      </w:r>
      <w:proofErr w:type="gramEnd"/>
      <w:r w:rsidR="009A4D17">
        <w:t xml:space="preserve"> revogada a Lei nº 11.746, de 19 de dezembro de 2014.</w:t>
      </w:r>
    </w:p>
    <w:p w:rsidR="009A4D17" w:rsidRDefault="009A4D17" w:rsidP="009A4D17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734680" w:rsidRDefault="00734680" w:rsidP="0017042C">
      <w:pPr>
        <w:ind w:firstLine="1418"/>
        <w:jc w:val="both"/>
      </w:pPr>
    </w:p>
    <w:p w:rsidR="00734680" w:rsidRDefault="00734680" w:rsidP="0017042C">
      <w:pPr>
        <w:ind w:firstLine="1418"/>
        <w:jc w:val="both"/>
      </w:pPr>
    </w:p>
    <w:p w:rsidR="00734680" w:rsidRDefault="00734680" w:rsidP="0017042C">
      <w:pPr>
        <w:ind w:firstLine="1418"/>
        <w:jc w:val="both"/>
      </w:pPr>
    </w:p>
    <w:p w:rsidR="00734680" w:rsidRDefault="00734680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  <w:footnote w:id="1">
    <w:p w:rsidR="0049694C" w:rsidRDefault="0049694C" w:rsidP="00F122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Fonte: </w:t>
      </w:r>
      <w:r w:rsidRPr="0049694C">
        <w:t>Art. 1º</w:t>
      </w:r>
      <w:r>
        <w:t xml:space="preserve">: </w:t>
      </w:r>
      <w:r w:rsidRPr="0049694C">
        <w:t xml:space="preserve">A República Federativa do Brasil, formada pela união indissolúvel dos Estados e Municípios e do Distrito Federal, constitui-se em Estado Democrático de Direito e tem como fundamentos: </w:t>
      </w:r>
      <w:r>
        <w:t>[</w:t>
      </w:r>
      <w:r w:rsidRPr="0049694C">
        <w:t>...</w:t>
      </w:r>
      <w:r>
        <w:t>],</w:t>
      </w:r>
      <w:r w:rsidRPr="0049694C">
        <w:t xml:space="preserve"> IV - os valores sociais do trabalho e da livre iniciativa</w:t>
      </w:r>
      <w:r>
        <w:t>.</w:t>
      </w:r>
    </w:p>
  </w:footnote>
  <w:footnote w:id="2">
    <w:p w:rsidR="0049694C" w:rsidRDefault="0049694C" w:rsidP="00F122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Fonte: </w:t>
      </w:r>
      <w:r w:rsidRPr="0049694C">
        <w:t>Art. 170</w:t>
      </w:r>
      <w:r>
        <w:t>:</w:t>
      </w:r>
      <w:r w:rsidRPr="0049694C">
        <w:t xml:space="preserve"> A ordem econômica, fundada na valorização do trabalho humano e na livre iniciativa, tem por fim assegurar a todos existência digna, conforme os ditames da justiça social, observados os seguintes princípios</w:t>
      </w:r>
      <w:r>
        <w:t>[...].</w:t>
      </w:r>
    </w:p>
  </w:footnote>
  <w:footnote w:id="3">
    <w:p w:rsidR="009C3EC1" w:rsidRDefault="009C3EC1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9C3EC1">
        <w:t>STF - ARE 883165 (RJ), Relator: Min. Gilmar Mendes, Data do Julgamento: 23/08/2019.</w:t>
      </w:r>
    </w:p>
  </w:footnote>
  <w:footnote w:id="4">
    <w:p w:rsidR="00FB64C2" w:rsidRDefault="00FB64C2" w:rsidP="00F122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Fonte: </w:t>
      </w:r>
      <w:r w:rsidRPr="00FB64C2">
        <w:t>TJ-SP - ADI: 0005604-88.2013.8.26.0000, Relator: Des. Ferreira Rodrigues, Data de Julgamento: 03/12/2014</w:t>
      </w:r>
      <w:r>
        <w:t>.</w:t>
      </w:r>
    </w:p>
  </w:footnote>
  <w:footnote w:id="5">
    <w:p w:rsidR="00072B65" w:rsidRDefault="00072B65" w:rsidP="00F122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Fonte: </w:t>
      </w:r>
      <w:r w:rsidRPr="00072B65">
        <w:t xml:space="preserve">TJ-SP - ADI: 2165002-95.2017.8.26.0000, Relator: Des. João Carlos </w:t>
      </w:r>
      <w:proofErr w:type="spellStart"/>
      <w:r w:rsidRPr="00072B65">
        <w:t>Saletti</w:t>
      </w:r>
      <w:proofErr w:type="spellEnd"/>
      <w:r w:rsidRPr="00072B65">
        <w:t>, Data do Julgamento: 12/09/2018</w:t>
      </w:r>
      <w:r>
        <w:t>.</w:t>
      </w:r>
    </w:p>
  </w:footnote>
  <w:footnote w:id="6">
    <w:p w:rsidR="00072B65" w:rsidRDefault="00072B65" w:rsidP="00F122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Fonte: </w:t>
      </w:r>
      <w:r w:rsidRPr="00072B65">
        <w:t>TJ-MS - ADI: 1402897-50.2016.8.12.0000, Relator: Des. Vladimir Abreu da Silva, Data do Julgamento: 15/02/2017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122F0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34165">
      <w:rPr>
        <w:b/>
        <w:bCs/>
      </w:rPr>
      <w:t>0520</w:t>
    </w:r>
    <w:r w:rsidR="009339B1">
      <w:rPr>
        <w:b/>
        <w:bCs/>
      </w:rPr>
      <w:t>/</w:t>
    </w:r>
    <w:r w:rsidR="0083416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834165">
      <w:rPr>
        <w:b/>
        <w:bCs/>
      </w:rPr>
      <w:t>229</w:t>
    </w:r>
    <w:r w:rsidR="009339B1">
      <w:rPr>
        <w:b/>
        <w:bCs/>
      </w:rPr>
      <w:t>/</w:t>
    </w:r>
    <w:r w:rsidR="00834165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565FD"/>
    <w:rsid w:val="00072B65"/>
    <w:rsid w:val="000962D6"/>
    <w:rsid w:val="000B5093"/>
    <w:rsid w:val="000F535A"/>
    <w:rsid w:val="00107096"/>
    <w:rsid w:val="00115D7B"/>
    <w:rsid w:val="0012498C"/>
    <w:rsid w:val="0015472C"/>
    <w:rsid w:val="00163F76"/>
    <w:rsid w:val="0017042C"/>
    <w:rsid w:val="0017083F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3F54CD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9694C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2C09"/>
    <w:rsid w:val="005D4277"/>
    <w:rsid w:val="005D5638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34680"/>
    <w:rsid w:val="0074274A"/>
    <w:rsid w:val="00772B09"/>
    <w:rsid w:val="007846FD"/>
    <w:rsid w:val="007953F9"/>
    <w:rsid w:val="007A3921"/>
    <w:rsid w:val="007D28EF"/>
    <w:rsid w:val="007F5959"/>
    <w:rsid w:val="00802AFD"/>
    <w:rsid w:val="00831400"/>
    <w:rsid w:val="00834165"/>
    <w:rsid w:val="00837E3C"/>
    <w:rsid w:val="00847E49"/>
    <w:rsid w:val="00855B81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A4D17"/>
    <w:rsid w:val="009B5889"/>
    <w:rsid w:val="009C04EC"/>
    <w:rsid w:val="009C3EC1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C4E31"/>
    <w:rsid w:val="00BD1099"/>
    <w:rsid w:val="00BE065D"/>
    <w:rsid w:val="00C03878"/>
    <w:rsid w:val="00C72428"/>
    <w:rsid w:val="00CA0680"/>
    <w:rsid w:val="00CA5C69"/>
    <w:rsid w:val="00CB02AD"/>
    <w:rsid w:val="00CB4EF9"/>
    <w:rsid w:val="00CD466B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2E9C"/>
    <w:rsid w:val="00DE419F"/>
    <w:rsid w:val="00DF6913"/>
    <w:rsid w:val="00E00B36"/>
    <w:rsid w:val="00E01F24"/>
    <w:rsid w:val="00E16809"/>
    <w:rsid w:val="00E31D59"/>
    <w:rsid w:val="00E35A27"/>
    <w:rsid w:val="00E7431A"/>
    <w:rsid w:val="00E843C8"/>
    <w:rsid w:val="00E8628A"/>
    <w:rsid w:val="00EA1192"/>
    <w:rsid w:val="00EC0C7A"/>
    <w:rsid w:val="00EE3E86"/>
    <w:rsid w:val="00EF3D40"/>
    <w:rsid w:val="00F05832"/>
    <w:rsid w:val="00F122F0"/>
    <w:rsid w:val="00F432AC"/>
    <w:rsid w:val="00F91FB6"/>
    <w:rsid w:val="00F94E39"/>
    <w:rsid w:val="00FB64C2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9694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9694C"/>
  </w:style>
  <w:style w:type="character" w:styleId="Refdenotadefim">
    <w:name w:val="endnote reference"/>
    <w:basedOn w:val="Fontepargpadro"/>
    <w:uiPriority w:val="99"/>
    <w:semiHidden/>
    <w:unhideWhenUsed/>
    <w:rsid w:val="00496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A129-ABEC-430E-9B0B-6C6FA958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65</TotalTime>
  <Pages>3</Pages>
  <Words>520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22</cp:revision>
  <cp:lastPrinted>2015-02-24T14:27:00Z</cp:lastPrinted>
  <dcterms:created xsi:type="dcterms:W3CDTF">2019-10-25T17:53:00Z</dcterms:created>
  <dcterms:modified xsi:type="dcterms:W3CDTF">2019-11-05T12:07:00Z</dcterms:modified>
</cp:coreProperties>
</file>