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6B99" w14:textId="77777777" w:rsidR="00A8039B" w:rsidRDefault="00B87718">
      <w:pPr>
        <w:jc w:val="center"/>
      </w:pPr>
      <w:bookmarkStart w:id="0" w:name="_GoBack"/>
      <w:bookmarkEnd w:id="0"/>
      <w:r>
        <w:t>EXPOSIÇÃO DE MOTIVOS</w:t>
      </w:r>
    </w:p>
    <w:p w14:paraId="0446AEF8" w14:textId="77777777" w:rsidR="00A8039B" w:rsidRDefault="00A8039B">
      <w:pPr>
        <w:jc w:val="center"/>
        <w:rPr>
          <w:bCs/>
          <w:color w:val="000000"/>
        </w:rPr>
      </w:pPr>
    </w:p>
    <w:p w14:paraId="26B3002A" w14:textId="77777777" w:rsidR="00A8039B" w:rsidRDefault="00A8039B">
      <w:pPr>
        <w:jc w:val="center"/>
        <w:rPr>
          <w:bCs/>
          <w:color w:val="000000"/>
        </w:rPr>
      </w:pPr>
    </w:p>
    <w:p w14:paraId="3C1A1B35" w14:textId="77777777" w:rsidR="00A8039B" w:rsidRDefault="00B877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Projeto de Lei Complementar que passa a ser submetido à apreciação dos nobres pares pretende prorrogar a vigência das “Autorizações para o Funcionamento de Atividades Econômicas no Município de Porto Alegre”, conhecidas popularmente como “alvará provisório”.</w:t>
      </w:r>
    </w:p>
    <w:p w14:paraId="509292D3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221788F0" w14:textId="099957ED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>É sabido que a pandemia decorrente da Covid-19 trouxe imensos prejuízos aos empresários de todo o País, não sendo diversa a situação em Porto Alegre.</w:t>
      </w:r>
    </w:p>
    <w:p w14:paraId="7BED2252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534A9A66" w14:textId="4BAD805C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>Conforme dados do Cadastro Geral de Empregados e Desempregados (Caged), o cadastro de vagas formais do Ministério da Economia, durante a pandemia, o Estado do Rio Grande do Sul perdeu mais de 130 mil empregos com carteira assinada. De acordo com dados do Banco Central para o Estado, no acumulado dos últimos doze meses, a atividade econômica gaúcha caiu cerca de 4,3%, sendo que no primeiro semestre de 2020 a queda alcançou o patamar de 8,1%.</w:t>
      </w:r>
    </w:p>
    <w:p w14:paraId="70122992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03D1C32C" w14:textId="34C65821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>Segundo a Confederação Nacional do Comércio (CNC), somente até o mês de maio do 2020, o prejuízo acumulado pelas lojas do Estado do Rio Grande do Sul durante a pandemia já atingia a marca assustadora de R$ 9,31 bilhões. Já a Associação Brasileira de Bares e Restaurantes (Abrasel/RS) indicou que, pelas projeções da entidade, em um cenário mais otimista, 20% dos bares e dos restaurantes fecharão, enquanto em um cenário ruim, serão cerca de 40% de negócios encerrados.</w:t>
      </w:r>
    </w:p>
    <w:p w14:paraId="21392FA6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29E5C3C8" w14:textId="166F7838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 xml:space="preserve">Em Porto Alegre, esse impacto negativo da pandemia pode ser observado, inclusive, na alta registrada no número de imóveis comerciais desocupados. A </w:t>
      </w:r>
      <w:bookmarkStart w:id="1" w:name="__DdeLink__8761_1885477101"/>
      <w:r>
        <w:rPr>
          <w:rFonts w:eastAsia="Calibri"/>
          <w:lang w:eastAsia="en-US"/>
        </w:rPr>
        <w:t>Câmara de Dirigentes Lojistas</w:t>
      </w:r>
      <w:bookmarkEnd w:id="1"/>
      <w:r>
        <w:rPr>
          <w:rFonts w:eastAsia="Calibri"/>
          <w:lang w:eastAsia="en-US"/>
        </w:rPr>
        <w:t xml:space="preserve"> de Porto Alegre (CDL/POA) apontou que somente no Bairro Centro Histórico, que se encontrava nas melhores condições de ocupação de espaços comerciais na Cidade, a oferta de lojas para locação cresceu 16,4% entre maio e junho deste ano, realidade que se reflete em outras regiões da Capital.</w:t>
      </w:r>
    </w:p>
    <w:p w14:paraId="6E948647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52F03B97" w14:textId="15DADA41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>Por sua vez, o Relatório Focus, do Banco Central, de 7 de agosto de 2020, projetou que a queda do Produto Interno Bruto (PIB) nacional, em 2020, alcançará o patamar de -5,66%, a maior registrada desde o longínquo ano de 1901. Pela métrica de soma adotada em doze meses, o rombo nas contas públicas, até junho deste ano, alcançava a monta de R$ 483,9 bilhões.</w:t>
      </w:r>
    </w:p>
    <w:p w14:paraId="652AFBFA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3D1183C8" w14:textId="12D9436B" w:rsidR="00A8039B" w:rsidRDefault="00B877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Perante o cenário aterrador desenhado acima, entende-se que é papel do Poder Público auxiliar na retomada das atividades econômicas, seja por meio de incentivos financeiros ou fiscais, seja por meio de medidas que visem à desburocratização do exercício empresarial, como é o caso deste Projeto de Lei Complementar.</w:t>
      </w:r>
    </w:p>
    <w:p w14:paraId="63F960F4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71094D8D" w14:textId="3438C993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>Importante destacar que a presente Proposição, além de facilitar a manutenção das atividades das empresas da Cidade, não traz qualquer impacto financeiro para as contas do Município, na medida em que tão somente prorroga prazos, sem a necessidade de novos trâmites para tanto.</w:t>
      </w:r>
    </w:p>
    <w:p w14:paraId="1428CC0B" w14:textId="42A9C63B" w:rsidR="00A8039B" w:rsidRDefault="00B87718">
      <w:pPr>
        <w:ind w:firstLine="1418"/>
        <w:jc w:val="both"/>
      </w:pPr>
      <w:r>
        <w:rPr>
          <w:rFonts w:eastAsia="Calibri"/>
          <w:lang w:eastAsia="en-US"/>
        </w:rPr>
        <w:t xml:space="preserve">Desta feita, entendendo que este Projeto de Lei Complementar busca facilitar o desenvolvimento das atividades econômicas da Capital, redundando na concessão de uma maior </w:t>
      </w:r>
      <w:r>
        <w:rPr>
          <w:rFonts w:eastAsia="Calibri"/>
          <w:lang w:eastAsia="en-US"/>
        </w:rPr>
        <w:lastRenderedPageBreak/>
        <w:t>eficiência do setor ao não ter de despender tempo no encaminhamento da renovação das autorizações para o seu funcionamento, é que se roga o apoio dos pares na sua aprovação.</w:t>
      </w:r>
    </w:p>
    <w:p w14:paraId="7C28802F" w14:textId="77777777" w:rsidR="00A8039B" w:rsidRDefault="00A8039B">
      <w:pPr>
        <w:ind w:firstLine="1418"/>
        <w:jc w:val="both"/>
        <w:rPr>
          <w:rFonts w:eastAsia="Calibri"/>
          <w:lang w:eastAsia="en-US"/>
        </w:rPr>
      </w:pPr>
    </w:p>
    <w:p w14:paraId="38CA8223" w14:textId="77777777" w:rsidR="00A8039B" w:rsidRDefault="00B8771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2 de outubro de 2020.</w:t>
      </w:r>
    </w:p>
    <w:p w14:paraId="4BEF4451" w14:textId="77777777" w:rsidR="00A8039B" w:rsidRDefault="00A8039B">
      <w:pPr>
        <w:jc w:val="center"/>
        <w:rPr>
          <w:rFonts w:eastAsia="Calibri"/>
          <w:lang w:eastAsia="en-US"/>
        </w:rPr>
      </w:pPr>
    </w:p>
    <w:p w14:paraId="351CBBD5" w14:textId="77777777" w:rsidR="00A8039B" w:rsidRDefault="00A8039B">
      <w:pPr>
        <w:jc w:val="center"/>
        <w:rPr>
          <w:rFonts w:eastAsia="Calibri"/>
          <w:lang w:eastAsia="en-US"/>
        </w:rPr>
      </w:pPr>
    </w:p>
    <w:p w14:paraId="2A5E9D24" w14:textId="77777777" w:rsidR="00A8039B" w:rsidRDefault="00A8039B">
      <w:pPr>
        <w:jc w:val="center"/>
        <w:rPr>
          <w:rFonts w:eastAsia="Calibri"/>
          <w:lang w:eastAsia="en-US"/>
        </w:rPr>
      </w:pPr>
    </w:p>
    <w:p w14:paraId="0ABF41DA" w14:textId="77777777" w:rsidR="00A8039B" w:rsidRDefault="00A8039B">
      <w:pPr>
        <w:jc w:val="center"/>
        <w:rPr>
          <w:rFonts w:eastAsia="Calibri"/>
          <w:lang w:eastAsia="en-US"/>
        </w:rPr>
      </w:pPr>
    </w:p>
    <w:p w14:paraId="664DFE84" w14:textId="77777777" w:rsidR="00A8039B" w:rsidRDefault="00A8039B">
      <w:pPr>
        <w:jc w:val="center"/>
        <w:rPr>
          <w:rFonts w:eastAsia="Calibri"/>
          <w:lang w:eastAsia="en-US"/>
        </w:rPr>
      </w:pPr>
    </w:p>
    <w:p w14:paraId="592A023E" w14:textId="77777777" w:rsidR="00A8039B" w:rsidRDefault="00B87718">
      <w:pPr>
        <w:jc w:val="center"/>
      </w:pPr>
      <w:r>
        <w:rPr>
          <w:rFonts w:eastAsia="Calibri"/>
          <w:lang w:eastAsia="en-US"/>
        </w:rPr>
        <w:t>VEREADOR IDENIR CECCHIM</w:t>
      </w:r>
      <w:r>
        <w:br w:type="page"/>
      </w:r>
    </w:p>
    <w:p w14:paraId="3BA4DAC4" w14:textId="77777777" w:rsidR="00A8039B" w:rsidRDefault="00B87718">
      <w:pPr>
        <w:jc w:val="center"/>
        <w:rPr>
          <w:b/>
          <w:bCs/>
        </w:rPr>
      </w:pPr>
      <w:r>
        <w:rPr>
          <w:b/>
          <w:bCs/>
        </w:rPr>
        <w:lastRenderedPageBreak/>
        <w:t>PROJETO DE LEI COMPLEMENTAR</w:t>
      </w:r>
    </w:p>
    <w:p w14:paraId="3E696DAA" w14:textId="77777777" w:rsidR="00A8039B" w:rsidRDefault="00A8039B">
      <w:pPr>
        <w:pStyle w:val="Default"/>
        <w:jc w:val="center"/>
        <w:rPr>
          <w:bCs/>
        </w:rPr>
      </w:pPr>
    </w:p>
    <w:p w14:paraId="6DA0F224" w14:textId="77777777" w:rsidR="00A8039B" w:rsidRDefault="00A8039B">
      <w:pPr>
        <w:pStyle w:val="Default"/>
        <w:jc w:val="center"/>
        <w:rPr>
          <w:bCs/>
        </w:rPr>
      </w:pPr>
    </w:p>
    <w:p w14:paraId="527631AF" w14:textId="77777777" w:rsidR="00A8039B" w:rsidRDefault="00A8039B">
      <w:pPr>
        <w:jc w:val="center"/>
      </w:pPr>
    </w:p>
    <w:p w14:paraId="1B5CE1EA" w14:textId="1504E79F" w:rsidR="00A8039B" w:rsidRDefault="00B87718">
      <w:pPr>
        <w:ind w:left="4253"/>
        <w:jc w:val="both"/>
        <w:rPr>
          <w:b/>
        </w:rPr>
      </w:pPr>
      <w:r>
        <w:rPr>
          <w:b/>
        </w:rPr>
        <w:t>Inclui § 1º-B no art. 1º da Lei Complementar nº 554, de 11 de julho de 2006</w:t>
      </w:r>
      <w:r w:rsidR="00844ACE">
        <w:rPr>
          <w:b/>
        </w:rPr>
        <w:t xml:space="preserve"> – que </w:t>
      </w:r>
      <w:r w:rsidR="00844ACE" w:rsidRPr="00844ACE">
        <w:rPr>
          <w:b/>
        </w:rPr>
        <w:t xml:space="preserve">institui a </w:t>
      </w:r>
      <w:r w:rsidR="00844ACE">
        <w:rPr>
          <w:b/>
        </w:rPr>
        <w:t>A</w:t>
      </w:r>
      <w:r w:rsidR="00844ACE" w:rsidRPr="00844ACE">
        <w:rPr>
          <w:b/>
        </w:rPr>
        <w:t xml:space="preserve">utorização para o </w:t>
      </w:r>
      <w:r w:rsidR="00844ACE">
        <w:rPr>
          <w:b/>
        </w:rPr>
        <w:t>F</w:t>
      </w:r>
      <w:r w:rsidR="00844ACE" w:rsidRPr="00844ACE">
        <w:rPr>
          <w:b/>
        </w:rPr>
        <w:t xml:space="preserve">uncionamento de </w:t>
      </w:r>
      <w:r w:rsidR="00844ACE">
        <w:rPr>
          <w:b/>
        </w:rPr>
        <w:t>A</w:t>
      </w:r>
      <w:r w:rsidR="00844ACE" w:rsidRPr="00844ACE">
        <w:rPr>
          <w:b/>
        </w:rPr>
        <w:t xml:space="preserve">tividades </w:t>
      </w:r>
      <w:r w:rsidR="00844ACE">
        <w:rPr>
          <w:b/>
        </w:rPr>
        <w:t>E</w:t>
      </w:r>
      <w:r w:rsidR="00844ACE" w:rsidRPr="00844ACE">
        <w:rPr>
          <w:b/>
        </w:rPr>
        <w:t xml:space="preserve">conômicas no </w:t>
      </w:r>
      <w:r w:rsidR="00844ACE">
        <w:rPr>
          <w:b/>
        </w:rPr>
        <w:t>M</w:t>
      </w:r>
      <w:r w:rsidR="00844ACE" w:rsidRPr="00844ACE">
        <w:rPr>
          <w:b/>
        </w:rPr>
        <w:t xml:space="preserve">unicípio de </w:t>
      </w:r>
      <w:r w:rsidR="00844ACE">
        <w:rPr>
          <w:b/>
        </w:rPr>
        <w:t>P</w:t>
      </w:r>
      <w:r w:rsidR="00844ACE" w:rsidRPr="00844ACE">
        <w:rPr>
          <w:b/>
        </w:rPr>
        <w:t xml:space="preserve">orto </w:t>
      </w:r>
      <w:r w:rsidR="00844ACE">
        <w:rPr>
          <w:b/>
        </w:rPr>
        <w:t>A</w:t>
      </w:r>
      <w:r w:rsidR="00844ACE" w:rsidRPr="00844ACE">
        <w:rPr>
          <w:b/>
        </w:rPr>
        <w:t>legre, dispõe sobre sua aplicação, expedição, vigência, renovação e cancelamento e dá outras providências</w:t>
      </w:r>
      <w:r w:rsidR="00844ACE">
        <w:rPr>
          <w:b/>
        </w:rPr>
        <w:t xml:space="preserve"> –</w:t>
      </w:r>
      <w:r>
        <w:rPr>
          <w:b/>
        </w:rPr>
        <w:t>, e alterações posteriores, prorrogando até o dia 31 de dezembro de 2021 a vigência das Autorizações para o Funcionamento de Atividades Econômicas que possuam seus termos de vencimento fixados entre os meses de março do ano de 2020 e setembro do ano de 2021.</w:t>
      </w:r>
    </w:p>
    <w:p w14:paraId="55539198" w14:textId="77777777" w:rsidR="00A8039B" w:rsidRDefault="00A8039B">
      <w:pPr>
        <w:ind w:left="4253"/>
        <w:jc w:val="both"/>
      </w:pPr>
    </w:p>
    <w:p w14:paraId="020547EB" w14:textId="77777777" w:rsidR="00A8039B" w:rsidRDefault="00A8039B">
      <w:pPr>
        <w:jc w:val="center"/>
      </w:pPr>
    </w:p>
    <w:p w14:paraId="1FA4B1BA" w14:textId="77777777" w:rsidR="00A8039B" w:rsidRDefault="00B87718">
      <w:pPr>
        <w:ind w:firstLine="1418"/>
        <w:jc w:val="both"/>
      </w:pPr>
      <w:r>
        <w:rPr>
          <w:b/>
        </w:rPr>
        <w:t>Art. 1º</w:t>
      </w:r>
      <w:r>
        <w:t xml:space="preserve">  Fica incluído § 1º-B no art. 1º da Lei Complementar nº 554, de 11 de julho de 2006, e alterações posteriores, conforme segue:</w:t>
      </w:r>
    </w:p>
    <w:p w14:paraId="0C42FE9F" w14:textId="77777777" w:rsidR="00A8039B" w:rsidRDefault="00A8039B">
      <w:pPr>
        <w:ind w:firstLine="1418"/>
        <w:jc w:val="both"/>
      </w:pPr>
    </w:p>
    <w:p w14:paraId="012EE046" w14:textId="77777777" w:rsidR="00A8039B" w:rsidRDefault="00B87718">
      <w:pPr>
        <w:ind w:firstLine="1418"/>
        <w:jc w:val="both"/>
      </w:pPr>
      <w:r>
        <w:t>“Art. 1º  ......................................................................................................................</w:t>
      </w:r>
    </w:p>
    <w:p w14:paraId="7E5E8DFB" w14:textId="77777777" w:rsidR="00A8039B" w:rsidRDefault="00A8039B">
      <w:pPr>
        <w:ind w:firstLine="1418"/>
        <w:jc w:val="both"/>
      </w:pPr>
    </w:p>
    <w:p w14:paraId="0C79CB00" w14:textId="77777777" w:rsidR="00A8039B" w:rsidRDefault="00B87718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76D84E9" w14:textId="77777777" w:rsidR="00A8039B" w:rsidRDefault="00A8039B">
      <w:pPr>
        <w:ind w:firstLine="1418"/>
        <w:jc w:val="both"/>
      </w:pPr>
    </w:p>
    <w:p w14:paraId="7F90A42D" w14:textId="15330D3B" w:rsidR="00A8039B" w:rsidRDefault="00B87718">
      <w:pPr>
        <w:ind w:firstLine="1418"/>
        <w:jc w:val="both"/>
      </w:pPr>
      <w:r>
        <w:t xml:space="preserve">§ 1º-B  </w:t>
      </w:r>
      <w:r w:rsidR="004C228B" w:rsidRPr="004C228B">
        <w:t xml:space="preserve"> </w:t>
      </w:r>
      <w:r w:rsidR="004C228B">
        <w:t xml:space="preserve">As Autorizações de que trata o </w:t>
      </w:r>
      <w:r w:rsidR="004C228B">
        <w:rPr>
          <w:i/>
        </w:rPr>
        <w:t xml:space="preserve">caput </w:t>
      </w:r>
      <w:r w:rsidR="004C228B">
        <w:t>deste artigo que possuam seus termos de vencimento fixados entre os meses de março de 2020 e setembro de 2021 terão sua vigência prorrogada até o dia 31 de dezembro de 2021.</w:t>
      </w:r>
    </w:p>
    <w:p w14:paraId="6AF741C4" w14:textId="77777777" w:rsidR="00A8039B" w:rsidRDefault="00A8039B">
      <w:pPr>
        <w:ind w:firstLine="1418"/>
        <w:jc w:val="both"/>
      </w:pPr>
    </w:p>
    <w:p w14:paraId="2AA2D9F1" w14:textId="3BFB56A6" w:rsidR="00A8039B" w:rsidRDefault="004C228B">
      <w:pPr>
        <w:ind w:firstLine="1418"/>
        <w:jc w:val="both"/>
      </w:pPr>
      <w:r>
        <w:t>.</w:t>
      </w:r>
      <w:r w:rsidR="00B87718">
        <w:t>........................................................................................................................” (NR)</w:t>
      </w:r>
    </w:p>
    <w:p w14:paraId="448FAF05" w14:textId="77777777" w:rsidR="00A8039B" w:rsidRDefault="00A8039B">
      <w:pPr>
        <w:ind w:firstLine="1418"/>
        <w:jc w:val="both"/>
      </w:pPr>
    </w:p>
    <w:p w14:paraId="573A1CB2" w14:textId="77777777" w:rsidR="00A8039B" w:rsidRDefault="00B87718">
      <w:pPr>
        <w:ind w:firstLine="1418"/>
        <w:jc w:val="both"/>
      </w:pPr>
      <w:r>
        <w:rPr>
          <w:b/>
        </w:rPr>
        <w:t xml:space="preserve">Art. 2º </w:t>
      </w:r>
      <w:r>
        <w:t xml:space="preserve"> Esta Lei Complementar entra em vigor na data de sua publicação.</w:t>
      </w:r>
    </w:p>
    <w:p w14:paraId="6B6BB63F" w14:textId="77777777" w:rsidR="00A8039B" w:rsidRDefault="00A8039B">
      <w:pPr>
        <w:ind w:firstLine="1418"/>
        <w:jc w:val="both"/>
      </w:pPr>
    </w:p>
    <w:p w14:paraId="1E3B8A12" w14:textId="77777777" w:rsidR="00A8039B" w:rsidRDefault="00A8039B">
      <w:pPr>
        <w:ind w:firstLine="1418"/>
        <w:jc w:val="both"/>
      </w:pPr>
    </w:p>
    <w:p w14:paraId="6D2C9FB1" w14:textId="77777777" w:rsidR="00A8039B" w:rsidRDefault="00A8039B">
      <w:pPr>
        <w:ind w:firstLine="1418"/>
        <w:jc w:val="both"/>
      </w:pPr>
    </w:p>
    <w:p w14:paraId="63F72A42" w14:textId="77777777" w:rsidR="00A8039B" w:rsidRDefault="00A8039B">
      <w:pPr>
        <w:ind w:firstLine="1418"/>
        <w:jc w:val="both"/>
      </w:pPr>
    </w:p>
    <w:p w14:paraId="1C1D019E" w14:textId="77777777" w:rsidR="00A8039B" w:rsidRDefault="00A8039B">
      <w:pPr>
        <w:ind w:firstLine="1418"/>
        <w:jc w:val="both"/>
      </w:pPr>
    </w:p>
    <w:p w14:paraId="1FD3C37F" w14:textId="77777777" w:rsidR="00A8039B" w:rsidRDefault="00A8039B">
      <w:pPr>
        <w:ind w:firstLine="1418"/>
        <w:jc w:val="both"/>
      </w:pPr>
    </w:p>
    <w:p w14:paraId="19FFA25A" w14:textId="77777777" w:rsidR="00A8039B" w:rsidRDefault="00A8039B">
      <w:pPr>
        <w:ind w:firstLine="1418"/>
        <w:jc w:val="both"/>
      </w:pPr>
    </w:p>
    <w:p w14:paraId="7F04078C" w14:textId="77777777" w:rsidR="00A8039B" w:rsidRDefault="00A8039B">
      <w:pPr>
        <w:ind w:firstLine="1418"/>
        <w:jc w:val="both"/>
      </w:pPr>
    </w:p>
    <w:p w14:paraId="6AB68B52" w14:textId="77777777" w:rsidR="00A8039B" w:rsidRDefault="00A8039B">
      <w:pPr>
        <w:ind w:firstLine="1418"/>
        <w:jc w:val="both"/>
      </w:pPr>
    </w:p>
    <w:p w14:paraId="780BB73B" w14:textId="77777777" w:rsidR="00A8039B" w:rsidRDefault="00A8039B">
      <w:pPr>
        <w:ind w:firstLine="1418"/>
        <w:jc w:val="both"/>
      </w:pPr>
    </w:p>
    <w:p w14:paraId="74814898" w14:textId="77777777" w:rsidR="00A8039B" w:rsidRDefault="00A8039B">
      <w:pPr>
        <w:ind w:firstLine="1418"/>
        <w:jc w:val="both"/>
      </w:pPr>
    </w:p>
    <w:p w14:paraId="1ECADA4B" w14:textId="77777777" w:rsidR="00A8039B" w:rsidRDefault="00A8039B">
      <w:pPr>
        <w:ind w:firstLine="1418"/>
        <w:jc w:val="both"/>
      </w:pPr>
    </w:p>
    <w:p w14:paraId="67253873" w14:textId="77777777" w:rsidR="00A8039B" w:rsidRDefault="00A8039B">
      <w:pPr>
        <w:ind w:firstLine="1418"/>
        <w:jc w:val="both"/>
      </w:pPr>
    </w:p>
    <w:p w14:paraId="19F37F61" w14:textId="77777777" w:rsidR="00A8039B" w:rsidRDefault="00A8039B">
      <w:pPr>
        <w:jc w:val="both"/>
      </w:pPr>
    </w:p>
    <w:p w14:paraId="2D6A596C" w14:textId="77777777" w:rsidR="00A8039B" w:rsidRDefault="00B87718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A8039B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07AF" w14:textId="77777777" w:rsidR="004F3086" w:rsidRDefault="00B87718">
      <w:r>
        <w:separator/>
      </w:r>
    </w:p>
  </w:endnote>
  <w:endnote w:type="continuationSeparator" w:id="0">
    <w:p w14:paraId="50158F42" w14:textId="77777777" w:rsidR="004F3086" w:rsidRDefault="00B8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27D6" w14:textId="77777777" w:rsidR="004F3086" w:rsidRDefault="00B87718">
      <w:r>
        <w:separator/>
      </w:r>
    </w:p>
  </w:footnote>
  <w:footnote w:type="continuationSeparator" w:id="0">
    <w:p w14:paraId="73CC8335" w14:textId="77777777" w:rsidR="004F3086" w:rsidRDefault="00B8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129E" w14:textId="77777777" w:rsidR="00A8039B" w:rsidRDefault="00B87718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5DC46A20" wp14:editId="53282644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 wp14:anchorId="12E33C69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36092817" w14:textId="77777777" w:rsidR="00A8039B" w:rsidRDefault="00B87718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92446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1853DB64" w14:textId="77777777" w:rsidR="00A8039B" w:rsidRDefault="00A8039B">
    <w:pPr>
      <w:pStyle w:val="Cabealho"/>
      <w:jc w:val="right"/>
      <w:rPr>
        <w:b/>
        <w:bCs/>
      </w:rPr>
    </w:pPr>
  </w:p>
  <w:p w14:paraId="6414476B" w14:textId="77777777" w:rsidR="00A8039B" w:rsidRDefault="00B87718">
    <w:pPr>
      <w:pStyle w:val="Cabealho"/>
      <w:jc w:val="right"/>
      <w:rPr>
        <w:b/>
        <w:bCs/>
      </w:rPr>
    </w:pPr>
    <w:r>
      <w:rPr>
        <w:b/>
        <w:bCs/>
      </w:rPr>
      <w:t>PROC. Nº   0316/20</w:t>
    </w:r>
  </w:p>
  <w:p w14:paraId="7904C7A2" w14:textId="77777777" w:rsidR="00A8039B" w:rsidRDefault="00B87718">
    <w:pPr>
      <w:pStyle w:val="Cabealho"/>
      <w:jc w:val="right"/>
      <w:rPr>
        <w:b/>
        <w:bCs/>
      </w:rPr>
    </w:pPr>
    <w:r>
      <w:rPr>
        <w:b/>
        <w:bCs/>
      </w:rPr>
      <w:t>PLCL   Nº     015/20</w:t>
    </w:r>
  </w:p>
  <w:p w14:paraId="476B840B" w14:textId="77777777" w:rsidR="00A8039B" w:rsidRDefault="00A8039B">
    <w:pPr>
      <w:pStyle w:val="Cabealho"/>
      <w:jc w:val="right"/>
      <w:rPr>
        <w:b/>
        <w:bCs/>
      </w:rPr>
    </w:pPr>
  </w:p>
  <w:p w14:paraId="02B56CF2" w14:textId="77777777" w:rsidR="00A8039B" w:rsidRDefault="00A8039B">
    <w:pPr>
      <w:pStyle w:val="Cabealho"/>
      <w:jc w:val="right"/>
      <w:rPr>
        <w:b/>
        <w:bCs/>
      </w:rPr>
    </w:pPr>
  </w:p>
  <w:p w14:paraId="05213651" w14:textId="77777777" w:rsidR="00A8039B" w:rsidRDefault="00A8039B">
    <w:pPr>
      <w:pStyle w:val="Cabealho"/>
      <w:jc w:val="right"/>
      <w:rPr>
        <w:b/>
        <w:bCs/>
      </w:rPr>
    </w:pPr>
  </w:p>
  <w:p w14:paraId="662D6FF5" w14:textId="77777777" w:rsidR="00A8039B" w:rsidRDefault="00A8039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9B"/>
    <w:rsid w:val="00092446"/>
    <w:rsid w:val="00124FDB"/>
    <w:rsid w:val="00157FDF"/>
    <w:rsid w:val="001A1B28"/>
    <w:rsid w:val="002F0D26"/>
    <w:rsid w:val="003E0B93"/>
    <w:rsid w:val="004C228B"/>
    <w:rsid w:val="004F3086"/>
    <w:rsid w:val="006C2195"/>
    <w:rsid w:val="00776224"/>
    <w:rsid w:val="007B7C1B"/>
    <w:rsid w:val="008059E6"/>
    <w:rsid w:val="00844ACE"/>
    <w:rsid w:val="00A8039B"/>
    <w:rsid w:val="00B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60F"/>
  <w15:docId w15:val="{49451455-1B9E-4AE0-A3E7-52B4C2DF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styleId="Reviso">
    <w:name w:val="Revision"/>
    <w:hidden/>
    <w:uiPriority w:val="99"/>
    <w:semiHidden/>
    <w:rsid w:val="00805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65BE-0417-4229-AF97-E3ED47E1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 - 21/10/20 </cp:lastModifiedBy>
  <cp:revision>26</cp:revision>
  <cp:lastPrinted>2015-02-24T14:27:00Z</cp:lastPrinted>
  <dcterms:created xsi:type="dcterms:W3CDTF">2020-10-09T17:32:00Z</dcterms:created>
  <dcterms:modified xsi:type="dcterms:W3CDTF">2020-10-23T01:04:00Z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